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334EF7" w:rsidRPr="00A80EE6" w14:paraId="1D1DE185" w14:textId="77777777" w:rsidTr="00BF36AB">
        <w:tc>
          <w:tcPr>
            <w:tcW w:w="5211" w:type="dxa"/>
            <w:hideMark/>
          </w:tcPr>
          <w:p w14:paraId="1C9E7731" w14:textId="77777777" w:rsidR="00334EF7" w:rsidRPr="00B602C0" w:rsidRDefault="00334EF7" w:rsidP="00C737E9">
            <w:pPr>
              <w:widowControl w:val="0"/>
              <w:spacing w:after="0" w:line="240" w:lineRule="auto"/>
              <w:rPr>
                <w:rFonts w:ascii="Times New Roman" w:eastAsia="Batang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hideMark/>
          </w:tcPr>
          <w:p w14:paraId="064F52B8" w14:textId="77777777" w:rsidR="00334EF7" w:rsidRPr="00A80EE6" w:rsidRDefault="00334EF7" w:rsidP="00C737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A80EE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УТВЕРЖДЕНА</w:t>
            </w:r>
          </w:p>
          <w:p w14:paraId="2C250E00" w14:textId="77777777" w:rsidR="00334EF7" w:rsidRPr="00A80EE6" w:rsidRDefault="00334EF7" w:rsidP="00C737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E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Приказом Председателя </w:t>
            </w:r>
          </w:p>
          <w:p w14:paraId="2496CF79" w14:textId="77777777" w:rsidR="00334EF7" w:rsidRPr="00A80EE6" w:rsidRDefault="00334EF7" w:rsidP="00C737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E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РГУ «Комитет </w:t>
            </w:r>
            <w:r w:rsidR="00954888" w:rsidRPr="00A80E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медицинского и фармацевтического </w:t>
            </w:r>
            <w:r w:rsidRPr="00A80E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контроля </w:t>
            </w:r>
          </w:p>
          <w:p w14:paraId="48A214A5" w14:textId="77777777" w:rsidR="00334EF7" w:rsidRPr="00A80EE6" w:rsidRDefault="00334EF7" w:rsidP="00C737E9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80E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Министерства здравоохранения</w:t>
            </w:r>
          </w:p>
          <w:p w14:paraId="0CFEE6EB" w14:textId="77777777" w:rsidR="00334EF7" w:rsidRPr="00A80EE6" w:rsidRDefault="00334EF7" w:rsidP="00C737E9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0E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Республики Казахстан</w:t>
            </w:r>
            <w:r w:rsidR="00E43E73" w:rsidRPr="00A80E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62C6B283" w14:textId="77777777" w:rsidR="006849BD" w:rsidRPr="006849BD" w:rsidRDefault="006849BD" w:rsidP="006849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9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«05»  06    2025 г.</w:t>
            </w:r>
          </w:p>
          <w:p w14:paraId="7BBB4738" w14:textId="77777777" w:rsidR="006849BD" w:rsidRPr="006849BD" w:rsidRDefault="006849BD" w:rsidP="006849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9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№N086509 (для </w:t>
            </w:r>
            <w:proofErr w:type="spellStart"/>
            <w:r w:rsidRPr="006849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Панимун</w:t>
            </w:r>
            <w:proofErr w:type="spellEnd"/>
            <w:r w:rsidRPr="006849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49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Биорал</w:t>
            </w:r>
            <w:proofErr w:type="spellEnd"/>
            <w:r w:rsidRPr="006849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25 мг)</w:t>
            </w:r>
          </w:p>
          <w:p w14:paraId="5AA8244E" w14:textId="77777777" w:rsidR="006849BD" w:rsidRPr="006849BD" w:rsidRDefault="006849BD" w:rsidP="006849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9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№N086510 (для </w:t>
            </w:r>
            <w:proofErr w:type="spellStart"/>
            <w:r w:rsidRPr="006849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Панимун</w:t>
            </w:r>
            <w:proofErr w:type="spellEnd"/>
            <w:r w:rsidRPr="006849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49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Биорал</w:t>
            </w:r>
            <w:proofErr w:type="spellEnd"/>
            <w:r w:rsidRPr="006849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50 мг)</w:t>
            </w:r>
          </w:p>
          <w:p w14:paraId="19022ED2" w14:textId="7F85B300" w:rsidR="00334EF7" w:rsidRPr="00A80EE6" w:rsidRDefault="006849BD" w:rsidP="006849BD">
            <w:pPr>
              <w:widowControl w:val="0"/>
              <w:spacing w:after="0" w:line="240" w:lineRule="auto"/>
              <w:rPr>
                <w:rFonts w:ascii="Times New Roman" w:eastAsia="Batang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6849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№N086511 (для </w:t>
            </w:r>
            <w:proofErr w:type="spellStart"/>
            <w:r w:rsidRPr="006849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Панимун</w:t>
            </w:r>
            <w:proofErr w:type="spellEnd"/>
            <w:r w:rsidRPr="006849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49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Биорал</w:t>
            </w:r>
            <w:proofErr w:type="spellEnd"/>
            <w:r w:rsidRPr="006849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100 мг)</w:t>
            </w:r>
          </w:p>
        </w:tc>
        <w:tc>
          <w:tcPr>
            <w:tcW w:w="4536" w:type="dxa"/>
          </w:tcPr>
          <w:p w14:paraId="03CAFB78" w14:textId="77777777" w:rsidR="00334EF7" w:rsidRPr="00A80EE6" w:rsidRDefault="00334EF7" w:rsidP="00C73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</w:tr>
    </w:tbl>
    <w:p w14:paraId="1E616444" w14:textId="77777777" w:rsidR="000B612B" w:rsidRPr="00A80EE6" w:rsidRDefault="000B612B" w:rsidP="00C737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95039FB" w14:textId="77777777" w:rsidR="00E43E73" w:rsidRPr="00A80EE6" w:rsidRDefault="00E43E73" w:rsidP="00C737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ОБЩАЯ ХАРАКТЕРИСТИКА ЛЕКАРСТВЕННОГО ПРЕПАРАТА</w:t>
      </w:r>
    </w:p>
    <w:p w14:paraId="35CD0B48" w14:textId="77777777" w:rsidR="00E43E73" w:rsidRPr="00A80EE6" w:rsidRDefault="00E43E73" w:rsidP="00C737E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6368C5F" w14:textId="77777777" w:rsidR="00E43E73" w:rsidRPr="00A80EE6" w:rsidRDefault="00E43E73" w:rsidP="00C737E9">
      <w:pPr>
        <w:pStyle w:val="a9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НАИМЕНОВАНИЕ ЛЕКАРСТВЕННОГО ПРЕПАРАТА</w:t>
      </w:r>
    </w:p>
    <w:p w14:paraId="45B3C95D" w14:textId="282A0EF0" w:rsidR="00E43E73" w:rsidRPr="00A80EE6" w:rsidRDefault="00D23ACF" w:rsidP="00C737E9">
      <w:pPr>
        <w:pStyle w:val="a9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Pr="00A80EE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EE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873C51" w:rsidRPr="00A80EE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, </w:t>
      </w:r>
      <w:r w:rsidR="004D375A" w:rsidRPr="00A80EE6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  <w:t>25 мг, 50 мг и 100 мг,</w:t>
      </w:r>
      <w:r w:rsidR="004D375A" w:rsidRPr="00A80EE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="00873C51" w:rsidRPr="00A80EE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капсулы</w:t>
      </w:r>
    </w:p>
    <w:p w14:paraId="1D40DF1C" w14:textId="77777777" w:rsidR="00E43E73" w:rsidRPr="00A80EE6" w:rsidRDefault="00E43E73" w:rsidP="00C737E9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CBC0558" w14:textId="77777777" w:rsidR="00264315" w:rsidRPr="00A80EE6" w:rsidRDefault="003D45B2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bookmarkStart w:id="0" w:name="2175220285"/>
      <w:r w:rsidR="001001B0" w:rsidRPr="00A80E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64315" w:rsidRPr="00A8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КАЧЕСТВЕННЫЙ И КОЛИЧЕСТВЕННЫЙ СОСТАВ</w:t>
      </w:r>
    </w:p>
    <w:bookmarkEnd w:id="0"/>
    <w:p w14:paraId="3425E872" w14:textId="77777777" w:rsidR="000B1A40" w:rsidRPr="00A80EE6" w:rsidRDefault="00264315" w:rsidP="00C737E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2.1. Общее описание:</w:t>
      </w:r>
    </w:p>
    <w:p w14:paraId="2D533156" w14:textId="77777777" w:rsidR="00B54DD5" w:rsidRPr="00A80EE6" w:rsidRDefault="00B54DD5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Циклоспорин</w:t>
      </w:r>
    </w:p>
    <w:p w14:paraId="6B987480" w14:textId="77777777" w:rsidR="00E77692" w:rsidRPr="00A80EE6" w:rsidRDefault="00E77692" w:rsidP="00C737E9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</w:rPr>
      </w:pPr>
      <w:r w:rsidRPr="00A80EE6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</w:rPr>
        <w:t>2.2 Качественный и количественный состав</w:t>
      </w:r>
    </w:p>
    <w:p w14:paraId="52BA3E8C" w14:textId="77777777" w:rsidR="00B54DD5" w:rsidRPr="00A80EE6" w:rsidRDefault="00B54DD5" w:rsidP="00C737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Одна капсула содержит</w:t>
      </w:r>
      <w:r w:rsidR="007835F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DFE5800" w14:textId="61C2D150" w:rsidR="00C74271" w:rsidRPr="00A80EE6" w:rsidRDefault="00C74271" w:rsidP="00C737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активное вещество - </w:t>
      </w:r>
      <w:r w:rsidRPr="00A80EE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ц</w:t>
      </w:r>
      <w:r w:rsidR="00954888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иклоспорин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5023C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мг, 50</w:t>
      </w:r>
      <w:r w:rsidR="005023C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мг</w:t>
      </w:r>
      <w:r w:rsidR="005023C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</w:t>
      </w:r>
      <w:r w:rsidR="005023C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мг</w:t>
      </w:r>
      <w:r w:rsidR="007835F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82DB5B" w14:textId="6D9AB662" w:rsidR="00E02E70" w:rsidRPr="00A80EE6" w:rsidRDefault="003351F0" w:rsidP="00E02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/>
          <w:bCs/>
          <w:iCs/>
          <w:color w:val="000000" w:themeColor="text1"/>
          <w:sz w:val="24"/>
          <w:szCs w:val="24"/>
          <w:lang w:val="kk-KZ"/>
        </w:rPr>
        <w:t>Вспомогательные вещества, наличие которых надо учитывать в составе лекарственного препарата</w:t>
      </w:r>
      <w:r w:rsidR="005C6FF9" w:rsidRPr="00A80EE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  <w:r w:rsidR="00E80D45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4CF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пропиленгликоль </w:t>
      </w:r>
      <w:proofErr w:type="spellStart"/>
      <w:r w:rsidR="00134CF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монолаурат</w:t>
      </w:r>
      <w:proofErr w:type="spellEnd"/>
      <w:r w:rsidR="00134CF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5D85" w:rsidRPr="00A80E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="00495D85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66.67 мг, пропиленгликоль 20.00 мг. </w:t>
      </w:r>
    </w:p>
    <w:p w14:paraId="0426065B" w14:textId="77777777" w:rsidR="00E77692" w:rsidRPr="00A80EE6" w:rsidRDefault="00E77692" w:rsidP="00E02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Полный список вспомогательных веществ см. в пункте 6.1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CE91CC" w14:textId="77777777" w:rsidR="000B612B" w:rsidRPr="00A80EE6" w:rsidRDefault="000B612B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2175220286"/>
    </w:p>
    <w:p w14:paraId="2CBC168D" w14:textId="77777777" w:rsidR="003B59E8" w:rsidRPr="00A80EE6" w:rsidRDefault="003B59E8" w:rsidP="00C73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 ЛЕКАРСТВЕННАЯ ФОРМА</w:t>
      </w:r>
    </w:p>
    <w:bookmarkEnd w:id="1"/>
    <w:p w14:paraId="46B9F816" w14:textId="77777777" w:rsidR="002D5785" w:rsidRPr="00A80EE6" w:rsidRDefault="002D5785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Капсулы</w:t>
      </w:r>
      <w:r w:rsidR="007835F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6F4E2A" w14:textId="77777777" w:rsidR="00AA15FB" w:rsidRPr="00A80EE6" w:rsidRDefault="00AA15FB" w:rsidP="000E45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Мягкие желатиновые капсулы овальной формы красновато-коричневого цвета с надписью белыми чернилами «РВ 25». Содержимое капсул – прозрачная жидкость (для дозировки 25 мг).</w:t>
      </w:r>
    </w:p>
    <w:p w14:paraId="341689DC" w14:textId="77777777" w:rsidR="00AA15FB" w:rsidRPr="00A80EE6" w:rsidRDefault="00AA15FB" w:rsidP="000E45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Мягкие желатиновые капсулы овальной формы кофейно-коричневого цвета с надписью белыми чернилами «РВ 50». Содержимое капсул – прозрачная жидкость (для дозировки 50 мг).</w:t>
      </w:r>
    </w:p>
    <w:p w14:paraId="5FB38646" w14:textId="77777777" w:rsidR="000B1A40" w:rsidRPr="00A80EE6" w:rsidRDefault="00AA15FB" w:rsidP="000E45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Мягкие желатиновые капсулы овальной формы красновато-коричневого цвета с надписью белыми чернилами «РВ 100». Содержимое капсул – прозрачная жидкость (для дозировки 100 мг).</w:t>
      </w:r>
    </w:p>
    <w:p w14:paraId="053324F8" w14:textId="77777777" w:rsidR="00AA15FB" w:rsidRPr="00A80EE6" w:rsidRDefault="00AA15FB" w:rsidP="00AA15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1DE309" w14:textId="77777777" w:rsidR="00954888" w:rsidRPr="00A80EE6" w:rsidRDefault="00DB4CFB" w:rsidP="00C73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 КЛИНИЧЕСКИЕ ДАННЫЕ</w:t>
      </w:r>
    </w:p>
    <w:p w14:paraId="139B98CE" w14:textId="77777777" w:rsidR="00DB4CFB" w:rsidRPr="00A80EE6" w:rsidRDefault="00DB4CFB" w:rsidP="00C73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4.1 Показания к применению</w:t>
      </w:r>
    </w:p>
    <w:p w14:paraId="5341C3B8" w14:textId="77777777" w:rsidR="0090422A" w:rsidRPr="00A80EE6" w:rsidRDefault="0090422A" w:rsidP="00C737E9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Трансплантационные показания</w:t>
      </w:r>
    </w:p>
    <w:p w14:paraId="1CFE3C1E" w14:textId="77777777" w:rsidR="0090422A" w:rsidRPr="00A80EE6" w:rsidRDefault="0090422A" w:rsidP="00C737E9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Трансплантация солидных органов</w:t>
      </w:r>
    </w:p>
    <w:p w14:paraId="60550F4E" w14:textId="77777777" w:rsidR="0090422A" w:rsidRPr="00A80EE6" w:rsidRDefault="0090422A" w:rsidP="00C737E9">
      <w:pPr>
        <w:pStyle w:val="Text"/>
        <w:spacing w:before="0"/>
        <w:rPr>
          <w:snapToGrid w:val="0"/>
          <w:color w:val="000000" w:themeColor="text1"/>
          <w:szCs w:val="24"/>
          <w:lang w:val="ru-RU"/>
        </w:rPr>
      </w:pPr>
      <w:r w:rsidRPr="00A80EE6">
        <w:rPr>
          <w:snapToGrid w:val="0"/>
          <w:color w:val="000000" w:themeColor="text1"/>
          <w:szCs w:val="24"/>
          <w:lang w:val="ru-RU"/>
        </w:rPr>
        <w:t>Предупреждение отторжения трансплантата после трансплантации солидных органов.</w:t>
      </w:r>
    </w:p>
    <w:p w14:paraId="3A391D52" w14:textId="1A69D75F" w:rsidR="0090422A" w:rsidRPr="00A80EE6" w:rsidRDefault="0090422A" w:rsidP="00C737E9">
      <w:pPr>
        <w:spacing w:after="0" w:line="240" w:lineRule="auto"/>
        <w:jc w:val="both"/>
        <w:outlineLvl w:val="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Лечение </w:t>
      </w:r>
      <w:bookmarkStart w:id="2" w:name="_Hlk195785876"/>
      <w:r w:rsidR="000E64B8" w:rsidRPr="00A80E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клеточного </w:t>
      </w:r>
      <w:bookmarkEnd w:id="2"/>
      <w:r w:rsidRPr="00A80E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отторжения трансплантата у больных, ранее получавших другие </w:t>
      </w:r>
      <w:proofErr w:type="spellStart"/>
      <w:r w:rsidRPr="00A80E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иммуносупрессивные</w:t>
      </w:r>
      <w:proofErr w:type="spellEnd"/>
      <w:r w:rsidRPr="00A80E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препараты.</w:t>
      </w:r>
    </w:p>
    <w:p w14:paraId="3C26A18A" w14:textId="77777777" w:rsidR="0090422A" w:rsidRPr="00A80EE6" w:rsidRDefault="0090422A" w:rsidP="00C737E9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Трансплантация костного мозга</w:t>
      </w:r>
    </w:p>
    <w:p w14:paraId="3110014D" w14:textId="77777777" w:rsidR="0090422A" w:rsidRPr="00A80EE6" w:rsidRDefault="0090422A" w:rsidP="00C737E9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Предупреждение отторжения трансплантата после трансплантации аллогенного костного мозга и стволовых клеток.</w:t>
      </w:r>
    </w:p>
    <w:p w14:paraId="4E0EBC77" w14:textId="77777777" w:rsidR="0090422A" w:rsidRPr="00A80EE6" w:rsidRDefault="0090422A" w:rsidP="00C737E9">
      <w:pPr>
        <w:spacing w:after="0" w:line="240" w:lineRule="auto"/>
        <w:jc w:val="both"/>
        <w:outlineLvl w:val="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Предупреждение и лечение болезни «трансплантат против хозяина».</w:t>
      </w:r>
    </w:p>
    <w:p w14:paraId="266104BD" w14:textId="77777777" w:rsidR="0090422A" w:rsidRPr="00A80EE6" w:rsidRDefault="0090422A" w:rsidP="00C737E9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Нетрансплантационные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показания</w:t>
      </w:r>
    </w:p>
    <w:p w14:paraId="72FF8286" w14:textId="77777777" w:rsidR="0090422A" w:rsidRPr="00A80EE6" w:rsidRDefault="0090422A" w:rsidP="00C737E9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Эндогенный увеит</w:t>
      </w:r>
    </w:p>
    <w:p w14:paraId="4F3F53E7" w14:textId="77777777" w:rsidR="0090422A" w:rsidRPr="00A80EE6" w:rsidRDefault="0090422A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lastRenderedPageBreak/>
        <w:t>Лечение угрожающего зрению среднего или заднего увеита неинфекционной этиологии в случаях, когда традиционное лечение не оказало эффекта или при развитии тяжелых побочных эффектов.</w:t>
      </w:r>
    </w:p>
    <w:p w14:paraId="4B829D42" w14:textId="77777777" w:rsidR="0090422A" w:rsidRPr="00A80EE6" w:rsidRDefault="0090422A" w:rsidP="00C737E9">
      <w:pPr>
        <w:tabs>
          <w:tab w:val="left" w:pos="6237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Лечение увеита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Бехчета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повторными приступами воспаления сетчатки у пациентов без признаков неврологических заболеваний.</w:t>
      </w:r>
    </w:p>
    <w:p w14:paraId="6CD7CCBC" w14:textId="77777777" w:rsidR="0090422A" w:rsidRPr="00A80EE6" w:rsidRDefault="0090422A" w:rsidP="00C737E9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Нефротический синдром</w:t>
      </w:r>
    </w:p>
    <w:p w14:paraId="2DD62762" w14:textId="6D0F4EB6" w:rsidR="0090422A" w:rsidRPr="00A80EE6" w:rsidRDefault="0090422A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bookmarkStart w:id="3" w:name="_Hlk195785910"/>
      <w:proofErr w:type="spellStart"/>
      <w:r w:rsidRPr="00A80EE6">
        <w:rPr>
          <w:color w:val="000000" w:themeColor="text1"/>
          <w:szCs w:val="24"/>
          <w:lang w:val="ru-RU"/>
        </w:rPr>
        <w:t>Стероидозависимый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и </w:t>
      </w:r>
      <w:proofErr w:type="spellStart"/>
      <w:r w:rsidRPr="00A80EE6">
        <w:rPr>
          <w:color w:val="000000" w:themeColor="text1"/>
          <w:szCs w:val="24"/>
          <w:lang w:val="ru-RU"/>
        </w:rPr>
        <w:t>стероидорезистентный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нефротический синдром, обусловленный</w:t>
      </w:r>
      <w:r w:rsidR="000E64B8" w:rsidRPr="00A80EE6">
        <w:rPr>
          <w:color w:val="000000" w:themeColor="text1"/>
          <w:szCs w:val="24"/>
          <w:lang w:val="ru-RU"/>
        </w:rPr>
        <w:t xml:space="preserve"> </w:t>
      </w:r>
      <w:bookmarkStart w:id="4" w:name="_Hlk195785897"/>
      <w:r w:rsidR="000E64B8" w:rsidRPr="00A80EE6">
        <w:rPr>
          <w:lang w:val="ru-RU"/>
        </w:rPr>
        <w:t xml:space="preserve">первичными </w:t>
      </w:r>
      <w:proofErr w:type="spellStart"/>
      <w:r w:rsidR="000E64B8" w:rsidRPr="00A80EE6">
        <w:rPr>
          <w:lang w:val="ru-RU"/>
        </w:rPr>
        <w:t>гломерулярными</w:t>
      </w:r>
      <w:proofErr w:type="spellEnd"/>
      <w:r w:rsidR="000E64B8" w:rsidRPr="00A80EE6">
        <w:rPr>
          <w:lang w:val="ru-RU"/>
        </w:rPr>
        <w:t xml:space="preserve"> заболеваниями</w:t>
      </w:r>
      <w:bookmarkEnd w:id="4"/>
      <w:r w:rsidRPr="00A80EE6">
        <w:rPr>
          <w:color w:val="000000" w:themeColor="text1"/>
          <w:szCs w:val="24"/>
          <w:lang w:val="ru-RU"/>
        </w:rPr>
        <w:t>, так</w:t>
      </w:r>
      <w:r w:rsidR="000E64B8" w:rsidRPr="00A80EE6">
        <w:rPr>
          <w:color w:val="000000" w:themeColor="text1"/>
          <w:szCs w:val="24"/>
          <w:lang w:val="ru-RU"/>
        </w:rPr>
        <w:t>ими</w:t>
      </w:r>
      <w:r w:rsidRPr="00A80EE6">
        <w:rPr>
          <w:color w:val="000000" w:themeColor="text1"/>
          <w:szCs w:val="24"/>
          <w:lang w:val="ru-RU"/>
        </w:rPr>
        <w:t xml:space="preserve"> как нефропатия минимальных изменений, очаговый и сегментарный </w:t>
      </w:r>
      <w:proofErr w:type="spellStart"/>
      <w:r w:rsidRPr="00A80EE6">
        <w:rPr>
          <w:color w:val="000000" w:themeColor="text1"/>
          <w:szCs w:val="24"/>
          <w:lang w:val="ru-RU"/>
        </w:rPr>
        <w:t>гломерулосклероз</w:t>
      </w:r>
      <w:proofErr w:type="spellEnd"/>
      <w:r w:rsidRPr="00A80EE6">
        <w:rPr>
          <w:color w:val="000000" w:themeColor="text1"/>
          <w:szCs w:val="24"/>
          <w:lang w:val="ru-RU"/>
        </w:rPr>
        <w:t>, мембранозный гломерулонефрит.</w:t>
      </w:r>
    </w:p>
    <w:bookmarkEnd w:id="3"/>
    <w:p w14:paraId="0BB1A16A" w14:textId="77777777" w:rsidR="0090422A" w:rsidRPr="00A80EE6" w:rsidRDefault="0090422A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Pr="00A80EE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EE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применять для индукции и поддержания ремиссии. Также может применяться для поддержания ремиссии, вызванной стероидами, что позволит их отменить.</w:t>
      </w:r>
    </w:p>
    <w:p w14:paraId="388A0592" w14:textId="77777777" w:rsidR="0090422A" w:rsidRPr="00A80EE6" w:rsidRDefault="0090422A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Ревматоидный артрит</w:t>
      </w:r>
    </w:p>
    <w:p w14:paraId="2204965F" w14:textId="77777777" w:rsidR="0090422A" w:rsidRPr="00A80EE6" w:rsidRDefault="0090422A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Тяжелые формы активного ревматоидного артрита</w:t>
      </w:r>
      <w:r w:rsidR="00C56D6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09764E" w14:textId="77777777" w:rsidR="0090422A" w:rsidRPr="00A80EE6" w:rsidRDefault="0090422A" w:rsidP="00C737E9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Псориаз</w:t>
      </w:r>
    </w:p>
    <w:p w14:paraId="770C6639" w14:textId="77777777" w:rsidR="0090422A" w:rsidRPr="00A80EE6" w:rsidRDefault="0090422A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Тяжелые формы псориаза, когда традиционная терапия неэффективна или невозможна.</w:t>
      </w:r>
    </w:p>
    <w:p w14:paraId="31BA9B62" w14:textId="77777777" w:rsidR="0090422A" w:rsidRPr="00A80EE6" w:rsidRDefault="0090422A" w:rsidP="00C737E9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Атопический дерматит</w:t>
      </w:r>
    </w:p>
    <w:p w14:paraId="5EE7D00C" w14:textId="77777777" w:rsidR="0090422A" w:rsidRPr="00A80EE6" w:rsidRDefault="0090422A" w:rsidP="00C737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Pr="00A80EE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EE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предназначен для пациентов с тяжелыми формами атопического дерматита, когда требуется системная терапия.</w:t>
      </w:r>
    </w:p>
    <w:p w14:paraId="7E254734" w14:textId="77777777" w:rsidR="00594B94" w:rsidRPr="00A80EE6" w:rsidRDefault="00594B94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2996D7" w14:textId="77777777" w:rsidR="00DB4CFB" w:rsidRPr="00A80EE6" w:rsidRDefault="00DB4CFB" w:rsidP="00C73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5" w:name="2175220275"/>
      <w:r w:rsidRPr="00A8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4.2 Режим дозирования и способ применения</w:t>
      </w:r>
    </w:p>
    <w:p w14:paraId="118CA72D" w14:textId="77777777" w:rsidR="009C4135" w:rsidRPr="00A80EE6" w:rsidRDefault="00DB4CFB" w:rsidP="00C73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Режим дозирования</w:t>
      </w:r>
    </w:p>
    <w:bookmarkEnd w:id="5"/>
    <w:p w14:paraId="5BF62092" w14:textId="77777777" w:rsidR="00CD7A2E" w:rsidRPr="00A80EE6" w:rsidRDefault="00CD7A2E" w:rsidP="00C737E9">
      <w:pPr>
        <w:pStyle w:val="Text"/>
        <w:spacing w:before="0"/>
        <w:outlineLvl w:val="0"/>
        <w:rPr>
          <w:snapToGrid w:val="0"/>
          <w:color w:val="000000" w:themeColor="text1"/>
          <w:szCs w:val="24"/>
          <w:lang w:val="ru-RU"/>
        </w:rPr>
      </w:pPr>
      <w:r w:rsidRPr="00A80EE6">
        <w:rPr>
          <w:snapToGrid w:val="0"/>
          <w:color w:val="000000" w:themeColor="text1"/>
          <w:szCs w:val="24"/>
          <w:lang w:val="ru-RU"/>
        </w:rPr>
        <w:t>Диапазоны дозировки для перорального приема представлены исключительно в качестве рекомендаций.</w:t>
      </w:r>
    </w:p>
    <w:p w14:paraId="0C4C55DD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snapToGrid w:val="0"/>
          <w:color w:val="000000" w:themeColor="text1"/>
          <w:szCs w:val="24"/>
          <w:lang w:val="ru-RU"/>
        </w:rPr>
        <w:t xml:space="preserve">Суточную дозу препарата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Биорал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</w:t>
      </w:r>
      <w:r w:rsidRPr="00A80EE6">
        <w:rPr>
          <w:snapToGrid w:val="0"/>
          <w:color w:val="000000" w:themeColor="text1"/>
          <w:szCs w:val="24"/>
          <w:lang w:val="ru-RU"/>
        </w:rPr>
        <w:t>всегда</w:t>
      </w:r>
      <w:r w:rsidR="00954888" w:rsidRPr="00A80EE6">
        <w:rPr>
          <w:snapToGrid w:val="0"/>
          <w:color w:val="000000" w:themeColor="text1"/>
          <w:szCs w:val="24"/>
          <w:lang w:val="ru-RU"/>
        </w:rPr>
        <w:t xml:space="preserve"> </w:t>
      </w:r>
      <w:r w:rsidRPr="00A80EE6">
        <w:rPr>
          <w:snapToGrid w:val="0"/>
          <w:color w:val="000000" w:themeColor="text1"/>
          <w:szCs w:val="24"/>
          <w:lang w:val="ru-RU"/>
        </w:rPr>
        <w:t>делят на два равных приема.</w:t>
      </w:r>
      <w:r w:rsidRPr="00A80EE6">
        <w:rPr>
          <w:color w:val="000000" w:themeColor="text1"/>
          <w:szCs w:val="24"/>
          <w:lang w:val="ru-RU"/>
        </w:rPr>
        <w:t xml:space="preserve"> Препарат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Биорал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r w:rsidRPr="00A80EE6">
        <w:rPr>
          <w:color w:val="000000" w:themeColor="text1"/>
          <w:szCs w:val="24"/>
          <w:lang w:val="ru-RU"/>
        </w:rPr>
        <w:t>рекомендуется принимать по согласованному графику с учетом времени суток и времени приема пищи.</w:t>
      </w:r>
    </w:p>
    <w:p w14:paraId="6786A413" w14:textId="7B43EFBE" w:rsidR="00CD7A2E" w:rsidRPr="00A80EE6" w:rsidRDefault="00CD7A2E" w:rsidP="00C737E9">
      <w:pPr>
        <w:pStyle w:val="Text"/>
        <w:spacing w:before="0"/>
        <w:rPr>
          <w:snapToGrid w:val="0"/>
          <w:color w:val="000000" w:themeColor="text1"/>
          <w:szCs w:val="24"/>
          <w:lang w:val="ru-RU"/>
        </w:rPr>
      </w:pPr>
      <w:r w:rsidRPr="00A80EE6">
        <w:rPr>
          <w:snapToGrid w:val="0"/>
          <w:color w:val="000000" w:themeColor="text1"/>
          <w:szCs w:val="24"/>
          <w:lang w:val="ru-RU"/>
        </w:rPr>
        <w:t xml:space="preserve">Препарат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Биорал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r w:rsidRPr="00A80EE6">
        <w:rPr>
          <w:snapToGrid w:val="0"/>
          <w:color w:val="000000" w:themeColor="text1"/>
          <w:szCs w:val="24"/>
          <w:lang w:val="ru-RU"/>
        </w:rPr>
        <w:t xml:space="preserve">должен назначаться только врачом, имеющим опыт проведения </w:t>
      </w:r>
      <w:proofErr w:type="spellStart"/>
      <w:r w:rsidRPr="00A80EE6">
        <w:rPr>
          <w:snapToGrid w:val="0"/>
          <w:color w:val="000000" w:themeColor="text1"/>
          <w:szCs w:val="24"/>
          <w:lang w:val="ru-RU"/>
        </w:rPr>
        <w:t>иммуносупрессивной</w:t>
      </w:r>
      <w:proofErr w:type="spellEnd"/>
      <w:r w:rsidRPr="00A80EE6">
        <w:rPr>
          <w:snapToGrid w:val="0"/>
          <w:color w:val="000000" w:themeColor="text1"/>
          <w:szCs w:val="24"/>
          <w:lang w:val="ru-RU"/>
        </w:rPr>
        <w:t xml:space="preserve"> терапии и</w:t>
      </w:r>
      <w:r w:rsidR="00BB4DBE" w:rsidRPr="00A80EE6">
        <w:rPr>
          <w:snapToGrid w:val="0"/>
          <w:color w:val="000000" w:themeColor="text1"/>
          <w:szCs w:val="24"/>
          <w:lang w:val="ru-RU"/>
        </w:rPr>
        <w:t xml:space="preserve"> </w:t>
      </w:r>
      <w:r w:rsidRPr="00A80EE6">
        <w:rPr>
          <w:snapToGrid w:val="0"/>
          <w:color w:val="000000" w:themeColor="text1"/>
          <w:szCs w:val="24"/>
          <w:lang w:val="ru-RU"/>
        </w:rPr>
        <w:t xml:space="preserve">(или) трансплантации органов, либо в </w:t>
      </w:r>
      <w:bookmarkStart w:id="6" w:name="_Hlk195785950"/>
      <w:r w:rsidR="00644853" w:rsidRPr="00A80EE6">
        <w:rPr>
          <w:snapToGrid w:val="0"/>
          <w:color w:val="000000" w:themeColor="text1"/>
          <w:szCs w:val="24"/>
          <w:lang w:val="ru-RU"/>
        </w:rPr>
        <w:t xml:space="preserve">тесном </w:t>
      </w:r>
      <w:bookmarkEnd w:id="6"/>
      <w:r w:rsidRPr="00A80EE6">
        <w:rPr>
          <w:snapToGrid w:val="0"/>
          <w:color w:val="000000" w:themeColor="text1"/>
          <w:szCs w:val="24"/>
          <w:lang w:val="ru-RU"/>
        </w:rPr>
        <w:t>сотрудничестве с таким врачом.</w:t>
      </w:r>
      <w:r w:rsidR="00B460B2" w:rsidRPr="00A80EE6">
        <w:rPr>
          <w:snapToGrid w:val="0"/>
          <w:color w:val="000000" w:themeColor="text1"/>
          <w:szCs w:val="24"/>
          <w:lang w:val="ru-RU"/>
        </w:rPr>
        <w:t xml:space="preserve"> </w:t>
      </w:r>
    </w:p>
    <w:p w14:paraId="33514DDC" w14:textId="77777777" w:rsidR="00CD7A2E" w:rsidRPr="00A80EE6" w:rsidRDefault="00CD7A2E" w:rsidP="00C737E9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Трансплантация</w:t>
      </w:r>
    </w:p>
    <w:p w14:paraId="5124CC69" w14:textId="77777777" w:rsidR="00CD7A2E" w:rsidRPr="00A80EE6" w:rsidRDefault="00CD7A2E" w:rsidP="00C737E9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Трансплантация солидных органов</w:t>
      </w:r>
    </w:p>
    <w:p w14:paraId="0BC2A9AC" w14:textId="72CC6832" w:rsidR="00CD7A2E" w:rsidRPr="00A80EE6" w:rsidRDefault="00B460B2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proofErr w:type="spellStart"/>
      <w:r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Pr="00A80EE6">
        <w:rPr>
          <w:color w:val="000000" w:themeColor="text1"/>
          <w:szCs w:val="24"/>
          <w:lang w:val="ru-RU"/>
        </w:rPr>
        <w:t>Биорал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</w:t>
      </w:r>
      <w:r w:rsidR="00CD7A2E" w:rsidRPr="00A80EE6">
        <w:rPr>
          <w:color w:val="000000" w:themeColor="text1"/>
          <w:szCs w:val="24"/>
          <w:lang w:val="ru-RU"/>
        </w:rPr>
        <w:t>назначается за 12</w:t>
      </w:r>
      <w:r w:rsidR="0015463F" w:rsidRPr="00A80EE6">
        <w:rPr>
          <w:color w:val="000000" w:themeColor="text1"/>
          <w:szCs w:val="24"/>
          <w:lang w:val="ru-RU"/>
        </w:rPr>
        <w:t xml:space="preserve"> </w:t>
      </w:r>
      <w:r w:rsidR="00CD7A2E" w:rsidRPr="00A80EE6">
        <w:rPr>
          <w:color w:val="000000" w:themeColor="text1"/>
          <w:szCs w:val="24"/>
          <w:lang w:val="ru-RU"/>
        </w:rPr>
        <w:t xml:space="preserve">часов до операции в дозе </w:t>
      </w:r>
      <w:bookmarkStart w:id="7" w:name="_Hlk195785972"/>
      <w:r w:rsidR="00CD7A2E" w:rsidRPr="00A80EE6">
        <w:rPr>
          <w:color w:val="000000" w:themeColor="text1"/>
          <w:szCs w:val="24"/>
          <w:lang w:val="ru-RU"/>
        </w:rPr>
        <w:t>10-15</w:t>
      </w:r>
      <w:r w:rsidR="00CD7A2E" w:rsidRPr="00A80EE6">
        <w:rPr>
          <w:color w:val="000000" w:themeColor="text1"/>
          <w:szCs w:val="24"/>
        </w:rPr>
        <w:t> </w:t>
      </w:r>
      <w:r w:rsidR="00CD7A2E" w:rsidRPr="00A80EE6">
        <w:rPr>
          <w:color w:val="000000" w:themeColor="text1"/>
          <w:szCs w:val="24"/>
          <w:lang w:val="ru-RU"/>
        </w:rPr>
        <w:t>мг/кг</w:t>
      </w:r>
      <w:r w:rsidR="00A50E4C" w:rsidRPr="00A80EE6">
        <w:rPr>
          <w:lang w:val="ru-RU"/>
        </w:rPr>
        <w:t xml:space="preserve"> массы тела, разделенной на два приема</w:t>
      </w:r>
      <w:bookmarkEnd w:id="7"/>
      <w:r w:rsidR="00CD7A2E" w:rsidRPr="00A80EE6">
        <w:rPr>
          <w:color w:val="000000" w:themeColor="text1"/>
          <w:szCs w:val="24"/>
          <w:lang w:val="ru-RU"/>
        </w:rPr>
        <w:t xml:space="preserve">. После операции в течение 1–2 недель препарат назначают ежедневно в той же дозе. Затем дозу постепенно снижают с учетом концентрации веществ в крови в соответствии с местными протоколами </w:t>
      </w:r>
      <w:proofErr w:type="spellStart"/>
      <w:r w:rsidR="00CD7A2E" w:rsidRPr="00A80EE6">
        <w:rPr>
          <w:color w:val="000000" w:themeColor="text1"/>
          <w:szCs w:val="24"/>
          <w:lang w:val="ru-RU"/>
        </w:rPr>
        <w:t>иммуносупрессивной</w:t>
      </w:r>
      <w:proofErr w:type="spellEnd"/>
      <w:r w:rsidR="00CD7A2E" w:rsidRPr="00A80EE6">
        <w:rPr>
          <w:color w:val="000000" w:themeColor="text1"/>
          <w:szCs w:val="24"/>
          <w:lang w:val="ru-RU"/>
        </w:rPr>
        <w:t xml:space="preserve"> терапии до достижения поддерживающей суточной дозы 2–6</w:t>
      </w:r>
      <w:r w:rsidR="00CD7A2E" w:rsidRPr="00A80EE6">
        <w:rPr>
          <w:color w:val="000000" w:themeColor="text1"/>
          <w:szCs w:val="24"/>
        </w:rPr>
        <w:t> </w:t>
      </w:r>
      <w:r w:rsidR="00CD7A2E" w:rsidRPr="00A80EE6">
        <w:rPr>
          <w:color w:val="000000" w:themeColor="text1"/>
          <w:szCs w:val="24"/>
          <w:lang w:val="ru-RU"/>
        </w:rPr>
        <w:t xml:space="preserve">мг/кг </w:t>
      </w:r>
      <w:bookmarkStart w:id="8" w:name="_Hlk195785981"/>
      <w:r w:rsidR="00A50E4C" w:rsidRPr="00A80EE6">
        <w:rPr>
          <w:color w:val="000000" w:themeColor="text1"/>
          <w:szCs w:val="24"/>
          <w:lang w:val="ru-RU"/>
        </w:rPr>
        <w:t xml:space="preserve">массы тела </w:t>
      </w:r>
      <w:bookmarkEnd w:id="8"/>
      <w:r w:rsidR="00CD7A2E" w:rsidRPr="00A80EE6">
        <w:rPr>
          <w:color w:val="000000" w:themeColor="text1"/>
          <w:szCs w:val="24"/>
          <w:lang w:val="ru-RU"/>
        </w:rPr>
        <w:t>(разделенной на 2</w:t>
      </w:r>
      <w:r w:rsidR="00CD7A2E" w:rsidRPr="00A80EE6">
        <w:rPr>
          <w:color w:val="000000" w:themeColor="text1"/>
          <w:szCs w:val="24"/>
        </w:rPr>
        <w:t> </w:t>
      </w:r>
      <w:r w:rsidR="00CD7A2E" w:rsidRPr="00A80EE6">
        <w:rPr>
          <w:color w:val="000000" w:themeColor="text1"/>
          <w:szCs w:val="24"/>
          <w:lang w:val="ru-RU"/>
        </w:rPr>
        <w:t>приема).</w:t>
      </w:r>
    </w:p>
    <w:p w14:paraId="45F3D093" w14:textId="2944AC28" w:rsidR="00CD7A2E" w:rsidRPr="00A80EE6" w:rsidRDefault="00CD7A2E" w:rsidP="00C737E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совместном применении препарата </w:t>
      </w:r>
      <w:proofErr w:type="spellStart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другими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иммуносупрессантами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(например, кортикостероидами в составе комбинированной трехкомпонентной или четырехкомпонентной терапии) можно применять препарат в меньших дозах (например, 3–6 мг/кг </w:t>
      </w:r>
      <w:bookmarkStart w:id="9" w:name="_Hlk195785994"/>
      <w:r w:rsidR="00EC4A4C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массы тела в два приема на начальном этапе терапии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bookmarkEnd w:id="9"/>
    </w:p>
    <w:p w14:paraId="35956DDF" w14:textId="77777777" w:rsidR="00CD7A2E" w:rsidRPr="00A80EE6" w:rsidRDefault="00CD7A2E" w:rsidP="00C737E9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Трансплантация костного мозга</w:t>
      </w:r>
    </w:p>
    <w:p w14:paraId="40A4CF04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Начальную дозу следует вводить </w:t>
      </w:r>
      <w:r w:rsidR="005A06DB" w:rsidRPr="00A80EE6">
        <w:rPr>
          <w:color w:val="000000" w:themeColor="text1"/>
          <w:szCs w:val="24"/>
          <w:lang w:val="ru-RU"/>
        </w:rPr>
        <w:t>за день до</w:t>
      </w:r>
      <w:r w:rsidRPr="00A80EE6">
        <w:rPr>
          <w:color w:val="000000" w:themeColor="text1"/>
          <w:szCs w:val="24"/>
          <w:lang w:val="ru-RU"/>
        </w:rPr>
        <w:t xml:space="preserve"> трансплантации. В большинстве случаев предпочтительным препаратом для приготовления раствора для инфузии является концентрат </w:t>
      </w:r>
      <w:r w:rsidR="00B460B2" w:rsidRPr="00A80EE6">
        <w:rPr>
          <w:color w:val="000000" w:themeColor="text1"/>
          <w:szCs w:val="24"/>
          <w:lang w:val="ru-RU"/>
        </w:rPr>
        <w:t>Циклоспорина</w:t>
      </w:r>
      <w:r w:rsidRPr="00A80EE6">
        <w:rPr>
          <w:color w:val="000000" w:themeColor="text1"/>
          <w:szCs w:val="24"/>
          <w:lang w:val="ru-RU"/>
        </w:rPr>
        <w:t>. Рекомендуемая доза при внутривенном введении составляет 3–5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 xml:space="preserve">мг/кг в сутки. Применение инфузии следует продолжить с соблюдением данного уровня дозы в ближайшем </w:t>
      </w:r>
      <w:proofErr w:type="spellStart"/>
      <w:r w:rsidRPr="00A80EE6">
        <w:rPr>
          <w:color w:val="000000" w:themeColor="text1"/>
          <w:szCs w:val="24"/>
          <w:lang w:val="ru-RU"/>
        </w:rPr>
        <w:t>посттрансплантационном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периоде до 2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недель</w:t>
      </w:r>
      <w:r w:rsidR="00954888" w:rsidRPr="00A80EE6">
        <w:rPr>
          <w:color w:val="000000" w:themeColor="text1"/>
          <w:szCs w:val="24"/>
          <w:lang w:val="ru-RU"/>
        </w:rPr>
        <w:t xml:space="preserve"> </w:t>
      </w:r>
      <w:r w:rsidRPr="00A80EE6">
        <w:rPr>
          <w:color w:val="000000" w:themeColor="text1"/>
          <w:szCs w:val="24"/>
          <w:lang w:val="ru-RU"/>
        </w:rPr>
        <w:t xml:space="preserve">— до перехода на пероральную терапию препаратом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Биорал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r w:rsidRPr="00A80EE6">
        <w:rPr>
          <w:color w:val="000000" w:themeColor="text1"/>
          <w:szCs w:val="24"/>
          <w:lang w:val="ru-RU"/>
        </w:rPr>
        <w:t>в суточной дозе около 12,5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мг/</w:t>
      </w:r>
      <w:r w:rsidR="009D0A5B" w:rsidRPr="00A80EE6">
        <w:rPr>
          <w:color w:val="000000" w:themeColor="text1"/>
          <w:szCs w:val="24"/>
          <w:lang w:val="ru-RU"/>
        </w:rPr>
        <w:t>кг, разделенной</w:t>
      </w:r>
      <w:r w:rsidRPr="00A80EE6">
        <w:rPr>
          <w:color w:val="000000" w:themeColor="text1"/>
          <w:szCs w:val="24"/>
          <w:lang w:val="ru-RU"/>
        </w:rPr>
        <w:t xml:space="preserve"> на 2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приема.</w:t>
      </w:r>
    </w:p>
    <w:p w14:paraId="0DA69F7A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lastRenderedPageBreak/>
        <w:t>Поддерживающую терапию необходимо проводить не менее 3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месяцев (предпочтительно 6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месяцев), после чего дозу в течение 1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года после трансплантации постепенно снижают до полной отмены препарата.</w:t>
      </w:r>
    </w:p>
    <w:p w14:paraId="4C40C8B0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Если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Биорал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r w:rsidRPr="00A80EE6">
        <w:rPr>
          <w:color w:val="000000" w:themeColor="text1"/>
          <w:szCs w:val="24"/>
          <w:lang w:val="ru-RU"/>
        </w:rPr>
        <w:t>назначается для начального этапа терапии, то рекомендованная суточная доза составляет 12,5–15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мг/кг (в 2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приема) начиная со дня, предшествующего трансплантации.</w:t>
      </w:r>
    </w:p>
    <w:p w14:paraId="6C5FD8B5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При наличии заболеваний желудочно-кишечного тракта, приводящих к снижению всасывания, могут потребоваться более высокие дозы препарата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Биорал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r w:rsidRPr="00A80EE6">
        <w:rPr>
          <w:color w:val="000000" w:themeColor="text1"/>
          <w:szCs w:val="24"/>
          <w:lang w:val="ru-RU"/>
        </w:rPr>
        <w:t xml:space="preserve">или применение внутривенных инфузий препарата </w:t>
      </w:r>
      <w:r w:rsidR="00B460B2" w:rsidRPr="00A80EE6">
        <w:rPr>
          <w:color w:val="000000" w:themeColor="text1"/>
          <w:szCs w:val="24"/>
          <w:lang w:val="ru-RU"/>
        </w:rPr>
        <w:t>циклоспорин</w:t>
      </w:r>
      <w:r w:rsidRPr="00A80EE6">
        <w:rPr>
          <w:color w:val="000000" w:themeColor="text1"/>
          <w:szCs w:val="24"/>
          <w:lang w:val="ru-RU"/>
        </w:rPr>
        <w:t>.</w:t>
      </w:r>
    </w:p>
    <w:p w14:paraId="3409909D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У некоторых пациентов после прекращения приема циклоспорина возможно возникновение болезни «трансплантат против хозяина», которая в большинстве случаев проходит после возобновления терапии. В таких случаях следует назначать начальную дозу 10–12,5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 xml:space="preserve">мг/кг перорально, а затем ежедневную поддерживающую дозу, ранее признанную удовлетворительной. Для лечения этого состояния при его хроническом течении в слабо выраженной форме следует применять препарат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Биорала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r w:rsidRPr="00A80EE6">
        <w:rPr>
          <w:color w:val="000000" w:themeColor="text1"/>
          <w:szCs w:val="24"/>
          <w:lang w:val="ru-RU"/>
        </w:rPr>
        <w:t>низких дозах.</w:t>
      </w:r>
    </w:p>
    <w:p w14:paraId="6DFDB06C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proofErr w:type="spellStart"/>
      <w:r w:rsidRPr="00A80EE6">
        <w:rPr>
          <w:i/>
          <w:iCs/>
          <w:color w:val="000000" w:themeColor="text1"/>
          <w:szCs w:val="24"/>
          <w:u w:val="single"/>
          <w:lang w:val="ru-RU"/>
        </w:rPr>
        <w:t>Нетрансплантационные</w:t>
      </w:r>
      <w:proofErr w:type="spellEnd"/>
      <w:r w:rsidRPr="00A80EE6">
        <w:rPr>
          <w:i/>
          <w:iCs/>
          <w:color w:val="000000" w:themeColor="text1"/>
          <w:szCs w:val="24"/>
          <w:u w:val="single"/>
          <w:lang w:val="ru-RU"/>
        </w:rPr>
        <w:t xml:space="preserve"> показания</w:t>
      </w:r>
    </w:p>
    <w:p w14:paraId="386613D3" w14:textId="07E53AEB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При применении препарата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Биорал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r w:rsidRPr="00A80EE6">
        <w:rPr>
          <w:color w:val="000000" w:themeColor="text1"/>
          <w:szCs w:val="24"/>
          <w:lang w:val="ru-RU"/>
        </w:rPr>
        <w:t xml:space="preserve">при любом установленном </w:t>
      </w:r>
      <w:proofErr w:type="spellStart"/>
      <w:r w:rsidRPr="00A80EE6">
        <w:rPr>
          <w:color w:val="000000" w:themeColor="text1"/>
          <w:szCs w:val="24"/>
          <w:lang w:val="ru-RU"/>
        </w:rPr>
        <w:t>нетрансплантационном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показании следует соблюдать следующие общие правила</w:t>
      </w:r>
      <w:r w:rsidR="0006659D" w:rsidRPr="00A80EE6">
        <w:rPr>
          <w:color w:val="000000" w:themeColor="text1"/>
          <w:szCs w:val="24"/>
          <w:lang w:val="ru-RU"/>
        </w:rPr>
        <w:t>:</w:t>
      </w:r>
    </w:p>
    <w:p w14:paraId="3F135168" w14:textId="4A8D4516" w:rsidR="00CD7A2E" w:rsidRPr="00A80EE6" w:rsidRDefault="00CD7A2E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Перед началом лечения устанавливают исходный достоверный уровень параметров функций почек как минимум в двух измерениях.</w:t>
      </w:r>
      <w:r w:rsidR="003B3F67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0" w:name="_Hlk195786034"/>
      <w:r w:rsidR="0006659D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Расчетная скорость клубочковой фильтрации (</w:t>
      </w:r>
      <w:proofErr w:type="spellStart"/>
      <w:r w:rsidR="0006659D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рСКФ</w:t>
      </w:r>
      <w:proofErr w:type="spellEnd"/>
      <w:r w:rsidR="0006659D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 формуле MDRD может быть использована для оценки функции почек у взрослых, а для оценки </w:t>
      </w:r>
      <w:proofErr w:type="spellStart"/>
      <w:r w:rsidR="0006659D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рСКФ</w:t>
      </w:r>
      <w:proofErr w:type="spellEnd"/>
      <w:r w:rsidR="0006659D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детей следует использовать соответствующую формулу. </w:t>
      </w:r>
      <w:bookmarkEnd w:id="10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Поскольку препарат </w:t>
      </w:r>
      <w:proofErr w:type="spellStart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может вызывать нарушения функции почек, ее необходимо оценивать часто. Если снижение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рСКФ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превышает 25% от исходного значения в более чем одном измерении, дозировка препарата </w:t>
      </w:r>
      <w:proofErr w:type="spellStart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должна быть снижена на 25–50%. Если снижение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рСКФ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 более 35% от исходного значения, следует рассмотреть вопрос о </w:t>
      </w:r>
      <w:bookmarkStart w:id="11" w:name="_Hlk195786078"/>
      <w:r w:rsidR="006C567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дальнейшем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1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снижении дозировки препарата </w:t>
      </w:r>
      <w:proofErr w:type="spellStart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Эти рекомендации следует выполнять, даже если значения концентрации креатинина продолжают оставаться в пределах лабораторной нормы. Если уменьшение дозировки не приводит к улучшению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рСКФ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одного месяца, лечение препаратом </w:t>
      </w:r>
      <w:proofErr w:type="spellStart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следует прекратить (см. раздел 4.4). </w:t>
      </w:r>
    </w:p>
    <w:p w14:paraId="6326CEC2" w14:textId="77777777" w:rsidR="00CD7A2E" w:rsidRPr="00A80EE6" w:rsidRDefault="00CD7A2E" w:rsidP="00C737E9">
      <w:pPr>
        <w:pStyle w:val="Listlevel1"/>
        <w:spacing w:before="0" w:after="0"/>
        <w:ind w:left="0" w:firstLine="0"/>
        <w:jc w:val="both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Необходимо регулярно контролировать показатели артериального давления.</w:t>
      </w:r>
    </w:p>
    <w:p w14:paraId="62D6C95B" w14:textId="4C0D481E" w:rsidR="00CD7A2E" w:rsidRPr="00A80EE6" w:rsidRDefault="00CD7A2E" w:rsidP="00C737E9">
      <w:pPr>
        <w:pStyle w:val="Listlevel1"/>
        <w:spacing w:before="0" w:after="0"/>
        <w:ind w:left="0" w:firstLine="0"/>
        <w:jc w:val="both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Уровень билирубина и значения параметров, характеризующих печеночную функцию, определяются до начала терапии с дальнейшим </w:t>
      </w:r>
      <w:bookmarkStart w:id="12" w:name="_Hlk195786123"/>
      <w:r w:rsidR="006C567A" w:rsidRPr="00A80EE6">
        <w:rPr>
          <w:color w:val="000000" w:themeColor="text1"/>
          <w:szCs w:val="24"/>
          <w:lang w:val="ru-RU"/>
        </w:rPr>
        <w:t xml:space="preserve">тщательным </w:t>
      </w:r>
      <w:bookmarkEnd w:id="12"/>
      <w:r w:rsidRPr="00A80EE6">
        <w:rPr>
          <w:color w:val="000000" w:themeColor="text1"/>
          <w:szCs w:val="24"/>
          <w:lang w:val="ru-RU"/>
        </w:rPr>
        <w:t>мониторингом в течение терапии. Перед началом лечения и регулярно во время лечения рекомендуется измерять уровень липидов сыворотки крови, калия, магния и мочевой кислоты.</w:t>
      </w:r>
    </w:p>
    <w:p w14:paraId="64F7A2F0" w14:textId="723D840A" w:rsidR="00CD7A2E" w:rsidRPr="00A80EE6" w:rsidRDefault="00537482" w:rsidP="00C737E9">
      <w:pPr>
        <w:pStyle w:val="Listlevel1"/>
        <w:spacing w:before="0" w:after="0"/>
        <w:ind w:left="0" w:firstLine="0"/>
        <w:jc w:val="both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Периодический </w:t>
      </w:r>
      <w:r w:rsidR="00CD7A2E" w:rsidRPr="00A80EE6">
        <w:rPr>
          <w:color w:val="000000" w:themeColor="text1"/>
          <w:szCs w:val="24"/>
          <w:lang w:val="ru-RU"/>
        </w:rPr>
        <w:t xml:space="preserve">мониторинг уровня циклоспорина в крови может быть уместным при применении по </w:t>
      </w:r>
      <w:proofErr w:type="spellStart"/>
      <w:r w:rsidR="00CD7A2E" w:rsidRPr="00A80EE6">
        <w:rPr>
          <w:color w:val="000000" w:themeColor="text1"/>
          <w:szCs w:val="24"/>
          <w:lang w:val="ru-RU"/>
        </w:rPr>
        <w:t>нетрансплантационным</w:t>
      </w:r>
      <w:proofErr w:type="spellEnd"/>
      <w:r w:rsidR="00CD7A2E" w:rsidRPr="00A80EE6">
        <w:rPr>
          <w:color w:val="000000" w:themeColor="text1"/>
          <w:szCs w:val="24"/>
          <w:lang w:val="ru-RU"/>
        </w:rPr>
        <w:t xml:space="preserve"> показаниям, например, при совместном применении препарата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Биорал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r w:rsidR="00CD7A2E" w:rsidRPr="00A80EE6">
        <w:rPr>
          <w:color w:val="000000" w:themeColor="text1"/>
          <w:szCs w:val="24"/>
          <w:lang w:val="ru-RU"/>
        </w:rPr>
        <w:t>с веществами, которые могут влиять на фармакокинетику циклоспорина, или в случаях необычного клинического ответа (например, недостаточная эффективность или повышенная непереносимость препарата, приводящая к нарушению почечной функции).</w:t>
      </w:r>
    </w:p>
    <w:p w14:paraId="0B32CD33" w14:textId="77777777" w:rsidR="00CD7A2E" w:rsidRPr="00A80EE6" w:rsidRDefault="00CD7A2E" w:rsidP="00C737E9">
      <w:pPr>
        <w:pStyle w:val="Listlevel1"/>
        <w:spacing w:before="0" w:after="0"/>
        <w:ind w:left="0" w:firstLine="0"/>
        <w:jc w:val="both"/>
        <w:rPr>
          <w:iCs/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Стандартный способ приема препарата</w:t>
      </w:r>
      <w:r w:rsidR="00954888" w:rsidRPr="00A80EE6">
        <w:rPr>
          <w:color w:val="000000" w:themeColor="text1"/>
          <w:szCs w:val="24"/>
          <w:lang w:val="ru-RU"/>
        </w:rPr>
        <w:t xml:space="preserve"> </w:t>
      </w:r>
      <w:r w:rsidRPr="00A80EE6">
        <w:rPr>
          <w:color w:val="000000" w:themeColor="text1"/>
          <w:szCs w:val="24"/>
          <w:lang w:val="ru-RU"/>
        </w:rPr>
        <w:t>— пероральный. При использовании концентрата для инфузионного раствора следует тщательно определить дозу для внутривенного введения, соответствующую пероральной дозе. Рекомендуется консультация врача, имеющего опыт лечения циклоспорином.</w:t>
      </w:r>
    </w:p>
    <w:p w14:paraId="36F6C23E" w14:textId="77777777" w:rsidR="00CD7A2E" w:rsidRPr="00A80EE6" w:rsidRDefault="00CD7A2E" w:rsidP="00C737E9">
      <w:pPr>
        <w:pStyle w:val="Listlevel1"/>
        <w:spacing w:before="0" w:after="0"/>
        <w:ind w:left="0" w:firstLine="0"/>
        <w:jc w:val="both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Общая суточная доза не должна превышать 5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мг/кг, за исключением пациентов с угрожающим зрению эндогенным увеитом и детей с нефротическим синдромом.</w:t>
      </w:r>
    </w:p>
    <w:p w14:paraId="33869E83" w14:textId="77777777" w:rsidR="00CD7A2E" w:rsidRPr="00A80EE6" w:rsidRDefault="00CD7A2E" w:rsidP="00C737E9">
      <w:pPr>
        <w:pStyle w:val="Listlevel1"/>
        <w:spacing w:before="0" w:after="0"/>
        <w:ind w:left="0" w:firstLine="0"/>
        <w:jc w:val="both"/>
        <w:outlineLvl w:val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Для поддерживающей терапии дозу следует постепенно уменьшить до минимальной эффективной и хорошо переносимой.</w:t>
      </w:r>
    </w:p>
    <w:p w14:paraId="4E7BE733" w14:textId="77777777" w:rsidR="00CD7A2E" w:rsidRPr="00A80EE6" w:rsidRDefault="00CD7A2E" w:rsidP="00C737E9">
      <w:pPr>
        <w:pStyle w:val="Listlevel1"/>
        <w:spacing w:before="0" w:after="0"/>
        <w:ind w:left="0" w:firstLine="0"/>
        <w:jc w:val="both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lastRenderedPageBreak/>
        <w:t xml:space="preserve">Следует прекратить лечение препаратом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Биорал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r w:rsidRPr="00A80EE6">
        <w:rPr>
          <w:color w:val="000000" w:themeColor="text1"/>
          <w:szCs w:val="24"/>
          <w:lang w:val="ru-RU"/>
        </w:rPr>
        <w:t>при отсутствии адекватного терапевтического ответа в положенный отведенный период (конкретная информация приведена ниже) или при несовместимости эффективной дозы с установленными правилами безопасности.</w:t>
      </w:r>
    </w:p>
    <w:p w14:paraId="026160AE" w14:textId="77777777" w:rsidR="00CD7A2E" w:rsidRPr="00A80EE6" w:rsidRDefault="00CD7A2E" w:rsidP="00C737E9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Эндогенный увеит</w:t>
      </w:r>
    </w:p>
    <w:p w14:paraId="6CC69BD2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Для индукции ремиссии препарат назначают в начальной суточной дозе 5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 xml:space="preserve">мг/кг перорально в два приема до исчезновения признаков активного </w:t>
      </w:r>
      <w:proofErr w:type="spellStart"/>
      <w:r w:rsidRPr="00A80EE6">
        <w:rPr>
          <w:color w:val="000000" w:themeColor="text1"/>
          <w:szCs w:val="24"/>
          <w:lang w:val="ru-RU"/>
        </w:rPr>
        <w:t>увеального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воспаления и улучшения остроты зрения. В случаях, трудно поддающихся лечению, на непродолжительный период можно увеличить дозу до 7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мг/кг в сутки.</w:t>
      </w:r>
    </w:p>
    <w:p w14:paraId="1A54B25E" w14:textId="417B2778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Если не удается контролировать ситуацию с помощью одного препарата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Биорал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, для достижения начальной ремиссии или для купирования приступа воспаления </w:t>
      </w:r>
      <w:bookmarkStart w:id="13" w:name="_Hlk195786149"/>
      <w:r w:rsidR="004002E0" w:rsidRPr="00A80EE6">
        <w:rPr>
          <w:color w:val="000000" w:themeColor="text1"/>
          <w:szCs w:val="24"/>
          <w:lang w:val="ru-RU"/>
        </w:rPr>
        <w:t xml:space="preserve">глаз </w:t>
      </w:r>
      <w:bookmarkEnd w:id="13"/>
      <w:r w:rsidRPr="00A80EE6">
        <w:rPr>
          <w:color w:val="000000" w:themeColor="text1"/>
          <w:szCs w:val="24"/>
          <w:lang w:val="ru-RU"/>
        </w:rPr>
        <w:t>можно добавить системные</w:t>
      </w:r>
      <w:r w:rsidR="004002E0" w:rsidRPr="00A80EE6">
        <w:rPr>
          <w:color w:val="000000" w:themeColor="text1"/>
          <w:szCs w:val="24"/>
          <w:lang w:val="ru-RU"/>
        </w:rPr>
        <w:t xml:space="preserve"> </w:t>
      </w:r>
      <w:bookmarkStart w:id="14" w:name="_Hlk195786156"/>
      <w:r w:rsidR="004002E0" w:rsidRPr="00A80EE6">
        <w:rPr>
          <w:color w:val="000000" w:themeColor="text1"/>
          <w:szCs w:val="24"/>
          <w:lang w:val="ru-RU"/>
        </w:rPr>
        <w:t>кортикостероиды</w:t>
      </w:r>
      <w:r w:rsidRPr="00A80EE6">
        <w:rPr>
          <w:color w:val="000000" w:themeColor="text1"/>
          <w:szCs w:val="24"/>
          <w:lang w:val="ru-RU"/>
        </w:rPr>
        <w:t xml:space="preserve"> </w:t>
      </w:r>
      <w:bookmarkEnd w:id="14"/>
      <w:r w:rsidRPr="00A80EE6">
        <w:rPr>
          <w:color w:val="000000" w:themeColor="text1"/>
          <w:szCs w:val="24"/>
          <w:lang w:val="ru-RU"/>
        </w:rPr>
        <w:t>в суточной дозе 0,2-0,6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 xml:space="preserve">мг/кг </w:t>
      </w:r>
      <w:proofErr w:type="spellStart"/>
      <w:r w:rsidR="004002E0" w:rsidRPr="00A80EE6">
        <w:rPr>
          <w:color w:val="000000" w:themeColor="text1"/>
          <w:szCs w:val="24"/>
          <w:lang w:val="ru-RU"/>
        </w:rPr>
        <w:t>преднизона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(или другого ГКС в эквивалентной дозе). Через 3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 xml:space="preserve">месяца дозу кортикостероидов можно снизить до самой </w:t>
      </w:r>
      <w:bookmarkStart w:id="15" w:name="_Hlk195786165"/>
      <w:r w:rsidR="0078625A" w:rsidRPr="00A80EE6">
        <w:rPr>
          <w:color w:val="000000" w:themeColor="text1"/>
          <w:szCs w:val="24"/>
          <w:lang w:val="ru-RU"/>
        </w:rPr>
        <w:t xml:space="preserve">минимальной </w:t>
      </w:r>
      <w:bookmarkEnd w:id="15"/>
      <w:r w:rsidRPr="00A80EE6">
        <w:rPr>
          <w:color w:val="000000" w:themeColor="text1"/>
          <w:szCs w:val="24"/>
          <w:lang w:val="ru-RU"/>
        </w:rPr>
        <w:t>эффективной дозы.</w:t>
      </w:r>
    </w:p>
    <w:p w14:paraId="3E4B79EB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Для поддерживающей терапии дозу следует постепенно уменьшить до минимальной эффективной. В период ремиссии заболевания доза не должна превышать 5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мг/кг в сутки.</w:t>
      </w:r>
    </w:p>
    <w:p w14:paraId="709107EE" w14:textId="77777777" w:rsidR="00CD7A2E" w:rsidRPr="00A80EE6" w:rsidRDefault="00CD7A2E" w:rsidP="00C737E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 использованием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иммуносупрессантов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следует исключить инфекционные причины увеита.</w:t>
      </w:r>
    </w:p>
    <w:p w14:paraId="06EA3451" w14:textId="77777777" w:rsidR="00CD7A2E" w:rsidRPr="00A80EE6" w:rsidRDefault="00CD7A2E" w:rsidP="00C737E9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Нефротический синдром</w:t>
      </w:r>
    </w:p>
    <w:p w14:paraId="61E5CED5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Для индукции ремиссии рекомендуемая суточная доза делится на 2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приема перорально.</w:t>
      </w:r>
    </w:p>
    <w:p w14:paraId="483C9F30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Если функция почек нормальная (за исключением протеинурии), применяются следующие рекомендуемые суточные дозы:</w:t>
      </w:r>
    </w:p>
    <w:p w14:paraId="58B3DE29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взрослые пациенты</w:t>
      </w:r>
      <w:r w:rsidR="00954888" w:rsidRPr="00A80EE6">
        <w:rPr>
          <w:color w:val="000000" w:themeColor="text1"/>
          <w:szCs w:val="24"/>
          <w:lang w:val="ru-RU"/>
        </w:rPr>
        <w:t xml:space="preserve"> </w:t>
      </w:r>
      <w:r w:rsidRPr="00A80EE6">
        <w:rPr>
          <w:color w:val="000000" w:themeColor="text1"/>
          <w:szCs w:val="24"/>
          <w:lang w:val="ru-RU"/>
        </w:rPr>
        <w:t>— 5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мг/кг;</w:t>
      </w:r>
    </w:p>
    <w:p w14:paraId="075EB00D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дети</w:t>
      </w:r>
      <w:r w:rsidR="00954888" w:rsidRPr="00A80EE6">
        <w:rPr>
          <w:color w:val="000000" w:themeColor="text1"/>
          <w:szCs w:val="24"/>
          <w:lang w:val="ru-RU"/>
        </w:rPr>
        <w:t xml:space="preserve"> </w:t>
      </w:r>
      <w:r w:rsidRPr="00A80EE6">
        <w:rPr>
          <w:color w:val="000000" w:themeColor="text1"/>
          <w:szCs w:val="24"/>
          <w:lang w:val="ru-RU"/>
        </w:rPr>
        <w:t>— 6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мг/кг.</w:t>
      </w:r>
    </w:p>
    <w:p w14:paraId="56949E71" w14:textId="77777777" w:rsidR="00CD7A2E" w:rsidRPr="00A80EE6" w:rsidRDefault="00CD7A2E" w:rsidP="00C737E9">
      <w:pPr>
        <w:pStyle w:val="Text"/>
        <w:spacing w:before="0"/>
        <w:outlineLvl w:val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У </w:t>
      </w:r>
      <w:r w:rsidR="00954888" w:rsidRPr="00A80EE6">
        <w:rPr>
          <w:color w:val="000000" w:themeColor="text1"/>
          <w:szCs w:val="24"/>
          <w:lang w:val="ru-RU"/>
        </w:rPr>
        <w:t>пациентов</w:t>
      </w:r>
      <w:r w:rsidRPr="00A80EE6">
        <w:rPr>
          <w:color w:val="000000" w:themeColor="text1"/>
          <w:szCs w:val="24"/>
          <w:lang w:val="ru-RU"/>
        </w:rPr>
        <w:t xml:space="preserve"> с нарушением функции почек начальная доза не должна превышать 2,5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мг/кг в сутки.</w:t>
      </w:r>
    </w:p>
    <w:p w14:paraId="1E8F25FA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Если при применении одного препарата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Биорал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r w:rsidRPr="00A80EE6">
        <w:rPr>
          <w:color w:val="000000" w:themeColor="text1"/>
          <w:szCs w:val="24"/>
          <w:lang w:val="ru-RU"/>
        </w:rPr>
        <w:t xml:space="preserve">не достигается удовлетворительного эффекта, особенно у </w:t>
      </w:r>
      <w:proofErr w:type="spellStart"/>
      <w:r w:rsidRPr="00A80EE6">
        <w:rPr>
          <w:color w:val="000000" w:themeColor="text1"/>
          <w:szCs w:val="24"/>
          <w:lang w:val="ru-RU"/>
        </w:rPr>
        <w:t>стероидорезистентных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</w:t>
      </w:r>
      <w:r w:rsidR="00954888" w:rsidRPr="00A80EE6">
        <w:rPr>
          <w:color w:val="000000" w:themeColor="text1"/>
          <w:szCs w:val="24"/>
          <w:lang w:val="ru-RU"/>
        </w:rPr>
        <w:t>пациентов</w:t>
      </w:r>
      <w:r w:rsidRPr="00A80EE6">
        <w:rPr>
          <w:color w:val="000000" w:themeColor="text1"/>
          <w:szCs w:val="24"/>
          <w:lang w:val="ru-RU"/>
        </w:rPr>
        <w:t>, то рекомендуется его комбинация с низкими дозами пероральных кортикостероидов.</w:t>
      </w:r>
    </w:p>
    <w:p w14:paraId="74B0A1E3" w14:textId="77777777" w:rsidR="00CD7A2E" w:rsidRPr="00A80EE6" w:rsidRDefault="00CD7A2E" w:rsidP="00C737E9">
      <w:pPr>
        <w:pStyle w:val="Text"/>
        <w:spacing w:before="0"/>
        <w:rPr>
          <w:b/>
          <w:i/>
          <w:color w:val="000000" w:themeColor="text1"/>
          <w:szCs w:val="24"/>
          <w:u w:val="single"/>
          <w:lang w:val="ru-RU"/>
        </w:rPr>
      </w:pPr>
      <w:r w:rsidRPr="00A80EE6">
        <w:rPr>
          <w:color w:val="000000" w:themeColor="text1"/>
          <w:szCs w:val="24"/>
          <w:lang w:val="ru-RU"/>
        </w:rPr>
        <w:t>Время улучшения составляет от 3 до 6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 xml:space="preserve">месяцев в зависимости от типа </w:t>
      </w:r>
      <w:proofErr w:type="spellStart"/>
      <w:r w:rsidRPr="00A80EE6">
        <w:rPr>
          <w:color w:val="000000" w:themeColor="text1"/>
          <w:szCs w:val="24"/>
          <w:lang w:val="ru-RU"/>
        </w:rPr>
        <w:t>гломерулопатии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. Если в течение этого периода улучшения не наблюдалось, терапию препаратом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Биорал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r w:rsidRPr="00A80EE6">
        <w:rPr>
          <w:color w:val="000000" w:themeColor="text1"/>
          <w:szCs w:val="24"/>
          <w:lang w:val="ru-RU"/>
        </w:rPr>
        <w:t>следует прекратить.</w:t>
      </w:r>
    </w:p>
    <w:p w14:paraId="373F78E7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Дозы должны подбираться индивидуально, с учетом показателей эффективности (протеинурия) и безопасности, но не следует превышать дозу 5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мг/кг в сутки для взрослых и 6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мг/кг в сутки у детей.</w:t>
      </w:r>
    </w:p>
    <w:p w14:paraId="190DFE14" w14:textId="77777777" w:rsidR="00CD7A2E" w:rsidRPr="00A80EE6" w:rsidRDefault="00CD7A2E" w:rsidP="00C737E9">
      <w:pPr>
        <w:pStyle w:val="Text"/>
        <w:spacing w:before="0"/>
        <w:outlineLvl w:val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Для поддерживающей терапии дозу следует постепенно уменьшить до минимальной эффективной.</w:t>
      </w:r>
    </w:p>
    <w:p w14:paraId="48D8F5AB" w14:textId="77777777" w:rsidR="00CD7A2E" w:rsidRPr="00A80EE6" w:rsidRDefault="00CD7A2E" w:rsidP="00C737E9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Ревматоидный артрит</w:t>
      </w:r>
    </w:p>
    <w:p w14:paraId="465587FF" w14:textId="17EB2A05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В течение первых 6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недель лечения рекомендованная доза составляет 3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мг/кг в сутки</w:t>
      </w:r>
      <w:r w:rsidR="007435A4" w:rsidRPr="00A80EE6">
        <w:rPr>
          <w:color w:val="000000" w:themeColor="text1"/>
          <w:szCs w:val="24"/>
          <w:lang w:val="ru-RU"/>
        </w:rPr>
        <w:t xml:space="preserve"> </w:t>
      </w:r>
      <w:bookmarkStart w:id="16" w:name="_Hlk195786186"/>
      <w:r w:rsidR="007435A4" w:rsidRPr="00A80EE6">
        <w:rPr>
          <w:color w:val="000000" w:themeColor="text1"/>
          <w:szCs w:val="24"/>
          <w:lang w:val="ru-RU"/>
        </w:rPr>
        <w:t xml:space="preserve">перорально </w:t>
      </w:r>
      <w:bookmarkEnd w:id="16"/>
      <w:r w:rsidRPr="00A80EE6">
        <w:rPr>
          <w:color w:val="000000" w:themeColor="text1"/>
          <w:szCs w:val="24"/>
          <w:lang w:val="ru-RU"/>
        </w:rPr>
        <w:t>в 2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приема. В случае недостаточного эффекта суточная доза может быть постепенно увеличена, если позволяет переносимость, но не следует превышать 5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мг/кг. Для достижения полной эффективности может потребоваться до 12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 xml:space="preserve">недель терапии препаратом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Биорал</w:t>
      </w:r>
      <w:proofErr w:type="spellEnd"/>
      <w:r w:rsidRPr="00A80EE6">
        <w:rPr>
          <w:color w:val="000000" w:themeColor="text1"/>
          <w:szCs w:val="24"/>
          <w:lang w:val="ru-RU"/>
        </w:rPr>
        <w:t>.</w:t>
      </w:r>
    </w:p>
    <w:p w14:paraId="5A4F2A89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Для поддерживающей терапии минимальная эффективная доза должна быть подобрана индивидуально в зависимости от переносимости препарата.</w:t>
      </w:r>
    </w:p>
    <w:p w14:paraId="2A1FAF00" w14:textId="77777777" w:rsidR="00CD7A2E" w:rsidRPr="00A80EE6" w:rsidRDefault="00B460B2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proofErr w:type="spellStart"/>
      <w:r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Pr="00A80EE6">
        <w:rPr>
          <w:color w:val="000000" w:themeColor="text1"/>
          <w:szCs w:val="24"/>
          <w:lang w:val="ru-RU"/>
        </w:rPr>
        <w:t>Биорал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</w:t>
      </w:r>
      <w:r w:rsidR="00CD7A2E" w:rsidRPr="00A80EE6">
        <w:rPr>
          <w:color w:val="000000" w:themeColor="text1"/>
          <w:szCs w:val="24"/>
          <w:lang w:val="ru-RU"/>
        </w:rPr>
        <w:t>можно назначать в сочетании с низкими дозами кортикостероидов и/или нестероидными противовоспалительными препаратами (см. раздел</w:t>
      </w:r>
      <w:r w:rsidR="00CD7A2E" w:rsidRPr="00A80EE6">
        <w:rPr>
          <w:color w:val="000000" w:themeColor="text1"/>
          <w:szCs w:val="24"/>
        </w:rPr>
        <w:t> </w:t>
      </w:r>
      <w:r w:rsidR="00CD7A2E" w:rsidRPr="00A80EE6">
        <w:rPr>
          <w:color w:val="000000" w:themeColor="text1"/>
          <w:szCs w:val="24"/>
          <w:lang w:val="ru-RU"/>
        </w:rPr>
        <w:t xml:space="preserve">4.4). </w:t>
      </w:r>
      <w:proofErr w:type="spellStart"/>
      <w:r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Pr="00A80EE6">
        <w:rPr>
          <w:color w:val="000000" w:themeColor="text1"/>
          <w:szCs w:val="24"/>
          <w:lang w:val="ru-RU"/>
        </w:rPr>
        <w:t>Биорал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</w:t>
      </w:r>
      <w:r w:rsidR="00CD7A2E" w:rsidRPr="00A80EE6">
        <w:rPr>
          <w:color w:val="000000" w:themeColor="text1"/>
          <w:szCs w:val="24"/>
          <w:lang w:val="ru-RU"/>
        </w:rPr>
        <w:t xml:space="preserve">можно также сочетать с недельным курсом метотрексата в низких дозах у </w:t>
      </w:r>
      <w:r w:rsidR="003C706E" w:rsidRPr="00A80EE6">
        <w:rPr>
          <w:color w:val="000000" w:themeColor="text1"/>
          <w:szCs w:val="24"/>
          <w:lang w:val="ru-RU"/>
        </w:rPr>
        <w:t>пациентов</w:t>
      </w:r>
      <w:r w:rsidR="00CD7A2E" w:rsidRPr="00A80EE6">
        <w:rPr>
          <w:color w:val="000000" w:themeColor="text1"/>
          <w:szCs w:val="24"/>
          <w:lang w:val="ru-RU"/>
        </w:rPr>
        <w:t xml:space="preserve"> с неудовлетворительным ответом на </w:t>
      </w:r>
      <w:proofErr w:type="spellStart"/>
      <w:r w:rsidR="00CD7A2E" w:rsidRPr="00A80EE6">
        <w:rPr>
          <w:color w:val="000000" w:themeColor="text1"/>
          <w:szCs w:val="24"/>
          <w:lang w:val="ru-RU"/>
        </w:rPr>
        <w:t>монотерапию</w:t>
      </w:r>
      <w:proofErr w:type="spellEnd"/>
      <w:r w:rsidR="00CD7A2E" w:rsidRPr="00A80EE6">
        <w:rPr>
          <w:color w:val="000000" w:themeColor="text1"/>
          <w:szCs w:val="24"/>
          <w:lang w:val="ru-RU"/>
        </w:rPr>
        <w:t xml:space="preserve"> метотрексатом. Начальная доза препарата </w:t>
      </w:r>
      <w:proofErr w:type="spellStart"/>
      <w:r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Pr="00A80EE6">
        <w:rPr>
          <w:color w:val="000000" w:themeColor="text1"/>
          <w:szCs w:val="24"/>
          <w:lang w:val="ru-RU"/>
        </w:rPr>
        <w:t>Биорал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</w:t>
      </w:r>
      <w:r w:rsidR="00CD7A2E" w:rsidRPr="00A80EE6">
        <w:rPr>
          <w:color w:val="000000" w:themeColor="text1"/>
          <w:szCs w:val="24"/>
          <w:lang w:val="ru-RU"/>
        </w:rPr>
        <w:t>составляет 2,5</w:t>
      </w:r>
      <w:r w:rsidR="00CD7A2E" w:rsidRPr="00A80EE6">
        <w:rPr>
          <w:color w:val="000000" w:themeColor="text1"/>
          <w:szCs w:val="24"/>
        </w:rPr>
        <w:t> </w:t>
      </w:r>
      <w:r w:rsidR="00CD7A2E" w:rsidRPr="00A80EE6">
        <w:rPr>
          <w:color w:val="000000" w:themeColor="text1"/>
          <w:szCs w:val="24"/>
          <w:lang w:val="ru-RU"/>
        </w:rPr>
        <w:t>мг/кг/</w:t>
      </w:r>
      <w:proofErr w:type="spellStart"/>
      <w:r w:rsidR="00CD7A2E" w:rsidRPr="00A80EE6">
        <w:rPr>
          <w:color w:val="000000" w:themeColor="text1"/>
          <w:szCs w:val="24"/>
          <w:lang w:val="ru-RU"/>
        </w:rPr>
        <w:t>сут</w:t>
      </w:r>
      <w:proofErr w:type="spellEnd"/>
      <w:r w:rsidR="00CD7A2E" w:rsidRPr="00A80EE6">
        <w:rPr>
          <w:color w:val="000000" w:themeColor="text1"/>
          <w:szCs w:val="24"/>
          <w:lang w:val="ru-RU"/>
        </w:rPr>
        <w:t xml:space="preserve"> (в 2</w:t>
      </w:r>
      <w:r w:rsidR="00CD7A2E" w:rsidRPr="00A80EE6">
        <w:rPr>
          <w:color w:val="000000" w:themeColor="text1"/>
          <w:szCs w:val="24"/>
        </w:rPr>
        <w:t> </w:t>
      </w:r>
      <w:r w:rsidR="00CD7A2E" w:rsidRPr="00A80EE6">
        <w:rPr>
          <w:color w:val="000000" w:themeColor="text1"/>
          <w:szCs w:val="24"/>
          <w:lang w:val="ru-RU"/>
        </w:rPr>
        <w:t>приема), при этом дозу можно повышать до уровня, лимитируемого переносимостью.</w:t>
      </w:r>
    </w:p>
    <w:p w14:paraId="1C8955B0" w14:textId="77777777" w:rsidR="00CD7A2E" w:rsidRPr="00A80EE6" w:rsidRDefault="00CD7A2E" w:rsidP="00C737E9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Псориаз</w:t>
      </w:r>
      <w:r w:rsidR="00B460B2"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k-KZ"/>
        </w:rPr>
        <w:t xml:space="preserve"> </w:t>
      </w:r>
    </w:p>
    <w:p w14:paraId="5BA90DBD" w14:textId="77777777" w:rsidR="00CD7A2E" w:rsidRPr="00A80EE6" w:rsidRDefault="00CD7A2E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Лечение препаратом </w:t>
      </w:r>
      <w:proofErr w:type="spellStart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должен выполнять врач, имеющий опыт в диагностике и лечении псориаза. По причине вариабельности этого заболевания лечение должно быть подобрано индивидуально. Для индукции ремиссии рекомендуемая начальная доза составляет 2,5 мг/кг в сутки в 2 приема. При отсутствии улучшения после 1 месяца терапии суточная доза может быть постепенно увеличена, но не должна превышать 5 мг/кг. Лечение должно быть прекращено, если не был достигнут удовлетворительный ответ по проявлениям псориаза после 6 недель лечения дозой 5 мг/кг в сутки или если эффективная доза не соответствует установленным параметрам безопасности (см. раздел 4.4).</w:t>
      </w:r>
    </w:p>
    <w:p w14:paraId="7F80EC77" w14:textId="77777777" w:rsidR="00CD7A2E" w:rsidRPr="00A80EE6" w:rsidRDefault="00CD7A2E" w:rsidP="00C737E9">
      <w:pPr>
        <w:pStyle w:val="Text"/>
        <w:spacing w:before="0"/>
        <w:rPr>
          <w:rFonts w:eastAsiaTheme="minorEastAsia"/>
          <w:color w:val="000000" w:themeColor="text1"/>
          <w:szCs w:val="24"/>
          <w:lang w:val="ru-RU" w:eastAsia="ru-RU"/>
        </w:rPr>
      </w:pPr>
      <w:r w:rsidRPr="00A80EE6">
        <w:rPr>
          <w:rFonts w:eastAsiaTheme="minorEastAsia"/>
          <w:color w:val="000000" w:themeColor="text1"/>
          <w:szCs w:val="24"/>
          <w:lang w:val="ru-RU" w:eastAsia="ru-RU"/>
        </w:rPr>
        <w:t>Применение начальной дозы 5 мг/кг/</w:t>
      </w:r>
      <w:proofErr w:type="spellStart"/>
      <w:r w:rsidRPr="00A80EE6">
        <w:rPr>
          <w:rFonts w:eastAsiaTheme="minorEastAsia"/>
          <w:color w:val="000000" w:themeColor="text1"/>
          <w:szCs w:val="24"/>
          <w:lang w:val="ru-RU" w:eastAsia="ru-RU"/>
        </w:rPr>
        <w:t>сут</w:t>
      </w:r>
      <w:proofErr w:type="spellEnd"/>
      <w:r w:rsidRPr="00A80EE6">
        <w:rPr>
          <w:rFonts w:eastAsiaTheme="minorEastAsia"/>
          <w:color w:val="000000" w:themeColor="text1"/>
          <w:szCs w:val="24"/>
          <w:lang w:val="ru-RU" w:eastAsia="ru-RU"/>
        </w:rPr>
        <w:t xml:space="preserve"> оправдано у </w:t>
      </w:r>
      <w:r w:rsidR="003C706E" w:rsidRPr="00A80EE6">
        <w:rPr>
          <w:rFonts w:eastAsiaTheme="minorEastAsia"/>
          <w:color w:val="000000" w:themeColor="text1"/>
          <w:szCs w:val="24"/>
          <w:lang w:val="ru-RU" w:eastAsia="ru-RU"/>
        </w:rPr>
        <w:t>пациентов</w:t>
      </w:r>
      <w:r w:rsidRPr="00A80EE6">
        <w:rPr>
          <w:rFonts w:eastAsiaTheme="minorEastAsia"/>
          <w:color w:val="000000" w:themeColor="text1"/>
          <w:szCs w:val="24"/>
          <w:lang w:val="ru-RU" w:eastAsia="ru-RU"/>
        </w:rPr>
        <w:t xml:space="preserve">, состояние которых требует скорейшего улучшения. Если удовлетворительный ответ достигнут, то препарат </w:t>
      </w:r>
      <w:proofErr w:type="spellStart"/>
      <w:r w:rsidR="00B460B2" w:rsidRPr="00A80EE6">
        <w:rPr>
          <w:rFonts w:eastAsiaTheme="minorEastAsia"/>
          <w:color w:val="000000" w:themeColor="text1"/>
          <w:szCs w:val="24"/>
          <w:lang w:val="ru-RU" w:eastAsia="ru-RU"/>
        </w:rPr>
        <w:t>Панимун</w:t>
      </w:r>
      <w:proofErr w:type="spellEnd"/>
      <w:r w:rsidR="00B460B2" w:rsidRPr="00A80EE6">
        <w:rPr>
          <w:rFonts w:eastAsiaTheme="minorEastAsia"/>
          <w:color w:val="000000" w:themeColor="text1"/>
          <w:szCs w:val="24"/>
          <w:lang w:val="ru-RU" w:eastAsia="ru-RU"/>
        </w:rPr>
        <w:t xml:space="preserve"> </w:t>
      </w:r>
      <w:proofErr w:type="spellStart"/>
      <w:r w:rsidR="00B460B2" w:rsidRPr="00A80EE6">
        <w:rPr>
          <w:rFonts w:eastAsiaTheme="minorEastAsia"/>
          <w:color w:val="000000" w:themeColor="text1"/>
          <w:szCs w:val="24"/>
          <w:lang w:val="ru-RU" w:eastAsia="ru-RU"/>
        </w:rPr>
        <w:t>Биорал</w:t>
      </w:r>
      <w:proofErr w:type="spellEnd"/>
      <w:r w:rsidR="00B460B2" w:rsidRPr="00A80EE6">
        <w:rPr>
          <w:rFonts w:eastAsiaTheme="minorEastAsia"/>
          <w:color w:val="000000" w:themeColor="text1"/>
          <w:szCs w:val="24"/>
          <w:lang w:val="ru-RU" w:eastAsia="ru-RU"/>
        </w:rPr>
        <w:t xml:space="preserve"> </w:t>
      </w:r>
      <w:r w:rsidRPr="00A80EE6">
        <w:rPr>
          <w:rFonts w:eastAsiaTheme="minorEastAsia"/>
          <w:color w:val="000000" w:themeColor="text1"/>
          <w:szCs w:val="24"/>
          <w:lang w:val="ru-RU" w:eastAsia="ru-RU"/>
        </w:rPr>
        <w:t xml:space="preserve">можно отменить, а последующий рецидив лечить повторным назначением препарата </w:t>
      </w:r>
      <w:proofErr w:type="spellStart"/>
      <w:r w:rsidR="00B460B2" w:rsidRPr="00A80EE6">
        <w:rPr>
          <w:rFonts w:eastAsiaTheme="minorEastAsia"/>
          <w:color w:val="000000" w:themeColor="text1"/>
          <w:szCs w:val="24"/>
          <w:lang w:val="ru-RU" w:eastAsia="ru-RU"/>
        </w:rPr>
        <w:t>Панимун</w:t>
      </w:r>
      <w:proofErr w:type="spellEnd"/>
      <w:r w:rsidR="00B460B2" w:rsidRPr="00A80EE6">
        <w:rPr>
          <w:rFonts w:eastAsiaTheme="minorEastAsia"/>
          <w:color w:val="000000" w:themeColor="text1"/>
          <w:szCs w:val="24"/>
          <w:lang w:val="ru-RU" w:eastAsia="ru-RU"/>
        </w:rPr>
        <w:t xml:space="preserve"> </w:t>
      </w:r>
      <w:proofErr w:type="spellStart"/>
      <w:r w:rsidR="00B460B2" w:rsidRPr="00A80EE6">
        <w:rPr>
          <w:rFonts w:eastAsiaTheme="minorEastAsia"/>
          <w:color w:val="000000" w:themeColor="text1"/>
          <w:szCs w:val="24"/>
          <w:lang w:val="ru-RU" w:eastAsia="ru-RU"/>
        </w:rPr>
        <w:t>Биорал</w:t>
      </w:r>
      <w:proofErr w:type="spellEnd"/>
      <w:r w:rsidR="00B460B2" w:rsidRPr="00A80EE6">
        <w:rPr>
          <w:rFonts w:eastAsiaTheme="minorEastAsia"/>
          <w:color w:val="000000" w:themeColor="text1"/>
          <w:szCs w:val="24"/>
          <w:lang w:val="ru-RU" w:eastAsia="ru-RU"/>
        </w:rPr>
        <w:t xml:space="preserve"> </w:t>
      </w:r>
      <w:r w:rsidRPr="00A80EE6">
        <w:rPr>
          <w:rFonts w:eastAsiaTheme="minorEastAsia"/>
          <w:color w:val="000000" w:themeColor="text1"/>
          <w:szCs w:val="24"/>
          <w:lang w:val="ru-RU" w:eastAsia="ru-RU"/>
        </w:rPr>
        <w:t xml:space="preserve">в предыдущей эффективной дозе. Некоторым </w:t>
      </w:r>
      <w:r w:rsidR="003C706E" w:rsidRPr="00A80EE6">
        <w:rPr>
          <w:rFonts w:eastAsiaTheme="minorEastAsia"/>
          <w:color w:val="000000" w:themeColor="text1"/>
          <w:szCs w:val="24"/>
          <w:lang w:val="ru-RU" w:eastAsia="ru-RU"/>
        </w:rPr>
        <w:t>пациентам</w:t>
      </w:r>
      <w:r w:rsidRPr="00A80EE6">
        <w:rPr>
          <w:rFonts w:eastAsiaTheme="minorEastAsia"/>
          <w:color w:val="000000" w:themeColor="text1"/>
          <w:szCs w:val="24"/>
          <w:lang w:val="ru-RU" w:eastAsia="ru-RU"/>
        </w:rPr>
        <w:t xml:space="preserve"> может потребоваться длительная поддерживающая терапия.</w:t>
      </w:r>
    </w:p>
    <w:p w14:paraId="0FFC8526" w14:textId="77777777" w:rsidR="00CD7A2E" w:rsidRPr="00A80EE6" w:rsidRDefault="00CD7A2E" w:rsidP="00C737E9">
      <w:pPr>
        <w:pStyle w:val="Text"/>
        <w:spacing w:before="0"/>
        <w:rPr>
          <w:rFonts w:eastAsiaTheme="minorEastAsia"/>
          <w:color w:val="000000" w:themeColor="text1"/>
          <w:szCs w:val="24"/>
          <w:lang w:val="ru-RU" w:eastAsia="ru-RU"/>
        </w:rPr>
      </w:pPr>
      <w:r w:rsidRPr="00A80EE6">
        <w:rPr>
          <w:rFonts w:eastAsiaTheme="minorEastAsia"/>
          <w:color w:val="000000" w:themeColor="text1"/>
          <w:szCs w:val="24"/>
          <w:lang w:val="ru-RU" w:eastAsia="ru-RU"/>
        </w:rPr>
        <w:t>Для поддерживающей терапии дозы подбираются индивидуально до минимального эффективного уровня и не должны превышать 5 мг/кг в сутки.</w:t>
      </w:r>
    </w:p>
    <w:p w14:paraId="658CB647" w14:textId="77777777" w:rsidR="00CD7A2E" w:rsidRPr="00A80EE6" w:rsidRDefault="00CD7A2E" w:rsidP="00C737E9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Атопический дерматит</w:t>
      </w:r>
    </w:p>
    <w:p w14:paraId="6239B9D4" w14:textId="77777777" w:rsidR="00CD7A2E" w:rsidRPr="00A80EE6" w:rsidRDefault="00CD7A2E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Лечение препаратом </w:t>
      </w:r>
      <w:proofErr w:type="spellStart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должен выполнять врач, имеющий опыт в диагностике и лечении атопического дерматита. По причине вариабельности этого заболевания лечение должно быть подобрано индивидуально. Рекомендуемая начальная доза 2,5–5 мг/кг в сутки в 2 приема. Если начальная доза 2,5 мг/кг в сутки не позволяет достичь удовлетворительного ответа в течение 2 недель, то суточную дозу можно быстро увеличить до максимальной</w:t>
      </w:r>
      <w:r w:rsidR="003C706E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5 мг/кг. В очень тяжелых случаях можно достичь быстрого и адекватного контроля заболевания, применяя начальную дозу 5 мг/кг в сутки. При достижении удовлетворительного ответа доза должна быть постепенно снижена, и, если возможно, </w:t>
      </w:r>
      <w:proofErr w:type="spellStart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следует отменить. В случае возникновения рецидива может быть проведен повторный курс лечения препаратом </w:t>
      </w:r>
      <w:proofErr w:type="spellStart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60B2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9AD367" w14:textId="77777777" w:rsidR="00CD7A2E" w:rsidRPr="00A80EE6" w:rsidRDefault="00CD7A2E" w:rsidP="00C737E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Несмотря на </w:t>
      </w:r>
      <w:r w:rsidR="000E2C4C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то,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курс лечения продолжительностью 8 недель может быть достаточным для очищения кожных покровов, было доказано, что терапия длительностью до 1 года эффективна и хорошо переносится при условии обязательного мониторинга всех необходимых показателей.</w:t>
      </w:r>
    </w:p>
    <w:p w14:paraId="5DAD0B01" w14:textId="77777777" w:rsidR="00CD7A2E" w:rsidRPr="00A80EE6" w:rsidRDefault="00CD7A2E" w:rsidP="002879D7">
      <w:pPr>
        <w:pStyle w:val="Text"/>
        <w:spacing w:before="0"/>
        <w:outlineLvl w:val="0"/>
        <w:rPr>
          <w:i/>
          <w:color w:val="000000" w:themeColor="text1"/>
          <w:szCs w:val="24"/>
          <w:u w:val="single"/>
          <w:lang w:val="ru-RU"/>
        </w:rPr>
      </w:pPr>
      <w:r w:rsidRPr="00A80EE6">
        <w:rPr>
          <w:i/>
          <w:iCs/>
          <w:color w:val="000000" w:themeColor="text1"/>
          <w:szCs w:val="24"/>
          <w:u w:val="single"/>
          <w:lang w:val="ru-RU"/>
        </w:rPr>
        <w:t>Переход с одной пероральной лекарственной формы циклоспорина на другую</w:t>
      </w:r>
    </w:p>
    <w:p w14:paraId="636D95A9" w14:textId="77777777" w:rsidR="002879D7" w:rsidRPr="00A80EE6" w:rsidRDefault="002879D7" w:rsidP="002879D7">
      <w:pPr>
        <w:pStyle w:val="Text"/>
        <w:spacing w:before="0"/>
        <w:outlineLvl w:val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При переходе с приема оригинальной лекарственной формы циклоспорина на </w:t>
      </w:r>
      <w:proofErr w:type="spellStart"/>
      <w:r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Pr="00A80EE6">
        <w:rPr>
          <w:color w:val="000000" w:themeColor="text1"/>
          <w:szCs w:val="24"/>
          <w:lang w:val="ru-RU"/>
        </w:rPr>
        <w:t>Биорал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при сохранении соотношения доз 1:1 значения остаточных концентраций циклоспорина, определяемые концентрации в крови, являются сопоставимыми. Однако у многих пациентов могут наблюдаться более высокие значения максимальной концентрации (</w:t>
      </w:r>
      <w:proofErr w:type="spellStart"/>
      <w:r w:rsidRPr="00A80EE6">
        <w:rPr>
          <w:color w:val="000000" w:themeColor="text1"/>
          <w:szCs w:val="24"/>
          <w:lang w:val="ru-RU"/>
        </w:rPr>
        <w:t>C</w:t>
      </w:r>
      <w:r w:rsidRPr="00A80EE6">
        <w:rPr>
          <w:color w:val="000000" w:themeColor="text1"/>
          <w:szCs w:val="24"/>
          <w:vertAlign w:val="subscript"/>
          <w:lang w:val="ru-RU"/>
        </w:rPr>
        <w:t>max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) и увеличение продолжительности воздействия препарата (площадь под кривой «концентрация-время» - AUC). Эти изменения заметны только у небольшого количества пациентов и могут быть клинически значимыми. Абсорбция пероральной формы </w:t>
      </w:r>
      <w:proofErr w:type="spellStart"/>
      <w:r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Pr="00A80EE6">
        <w:rPr>
          <w:color w:val="000000" w:themeColor="text1"/>
          <w:szCs w:val="24"/>
          <w:lang w:val="ru-RU"/>
        </w:rPr>
        <w:t>Биорал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менее изменчива, и корреляция между остаточными концентрациями и воздействием (по значениям AUC) является намного более выраженной, чем при применении оригинальной лекарственной формы циклоспорина.</w:t>
      </w:r>
    </w:p>
    <w:p w14:paraId="7E135546" w14:textId="77777777" w:rsidR="002879D7" w:rsidRPr="00A80EE6" w:rsidRDefault="002879D7" w:rsidP="002879D7">
      <w:pPr>
        <w:pStyle w:val="Text"/>
        <w:spacing w:before="0"/>
        <w:outlineLvl w:val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Поскольку переход с оригинальной лекарственной формы циклоспорина на </w:t>
      </w:r>
      <w:proofErr w:type="spellStart"/>
      <w:r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Pr="00A80EE6">
        <w:rPr>
          <w:color w:val="000000" w:themeColor="text1"/>
          <w:szCs w:val="24"/>
          <w:lang w:val="ru-RU"/>
        </w:rPr>
        <w:t>Биорал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может привести к повышенному воздействию циклоспорина, следует соблюдать следующие правила.</w:t>
      </w:r>
    </w:p>
    <w:p w14:paraId="46BB5950" w14:textId="244AB72F" w:rsidR="002879D7" w:rsidRPr="00A80EE6" w:rsidRDefault="002879D7" w:rsidP="002879D7">
      <w:pPr>
        <w:pStyle w:val="Text"/>
        <w:spacing w:before="0"/>
        <w:outlineLvl w:val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У пациентов после трансплантации лечение </w:t>
      </w:r>
      <w:proofErr w:type="spellStart"/>
      <w:r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Pr="00A80EE6">
        <w:rPr>
          <w:color w:val="000000" w:themeColor="text1"/>
          <w:szCs w:val="24"/>
          <w:lang w:val="ru-RU"/>
        </w:rPr>
        <w:t>Биорал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рекомендуется начинать с той же суточной дозы, которая была при предыдущем применении оригинальной лекарственной формы циклоспорина. Остаточную концентрацию циклоспорина в крови необходимо контролировать в течение 4-7 дней после перехода на </w:t>
      </w:r>
      <w:proofErr w:type="spellStart"/>
      <w:r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Pr="00A80EE6">
        <w:rPr>
          <w:color w:val="000000" w:themeColor="text1"/>
          <w:szCs w:val="24"/>
          <w:lang w:val="ru-RU"/>
        </w:rPr>
        <w:t>Биорал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. Кроме того, параметры клинической безопасности, такие как показатели функции почек и артериальное давление, следует контролировать в течение первых 2 месяцев после </w:t>
      </w:r>
      <w:r w:rsidRPr="00A80EE6">
        <w:rPr>
          <w:color w:val="000000" w:themeColor="text1"/>
          <w:szCs w:val="24"/>
          <w:lang w:val="ru-RU"/>
        </w:rPr>
        <w:lastRenderedPageBreak/>
        <w:t xml:space="preserve">перехода. Если остаточная концентрация циклоспорина в крови находится вне терапевтического диапазона и / или наблюдается ухудшение параметров безопасности клинического состояния, </w:t>
      </w:r>
      <w:r w:rsidR="006F16F9" w:rsidRPr="00A80EE6">
        <w:rPr>
          <w:lang w:val="ru-RU"/>
        </w:rPr>
        <w:t>доза должна быть скорректирована соответственно.</w:t>
      </w:r>
    </w:p>
    <w:p w14:paraId="1C5E27B5" w14:textId="77777777" w:rsidR="002879D7" w:rsidRPr="00A80EE6" w:rsidRDefault="002879D7" w:rsidP="00BF3B05">
      <w:pPr>
        <w:pStyle w:val="Text"/>
        <w:spacing w:before="0"/>
        <w:outlineLvl w:val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У пациентов, находящихся на лечении, не связанном с трансплантацией, терапию </w:t>
      </w:r>
      <w:bookmarkStart w:id="17" w:name="_Hlk135987377"/>
      <w:proofErr w:type="spellStart"/>
      <w:r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Pr="00A80EE6">
        <w:rPr>
          <w:color w:val="000000" w:themeColor="text1"/>
          <w:szCs w:val="24"/>
          <w:lang w:val="ru-RU"/>
        </w:rPr>
        <w:t>Биорал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</w:t>
      </w:r>
      <w:bookmarkEnd w:id="17"/>
      <w:r w:rsidRPr="00A80EE6">
        <w:rPr>
          <w:color w:val="000000" w:themeColor="text1"/>
          <w:szCs w:val="24"/>
          <w:lang w:val="ru-RU"/>
        </w:rPr>
        <w:t>необходимо начинать с той же суточной дозы, которая была определена при применении оригинальной лекарственной формы циклоспорина. Через 2, 4 и 8 недель после перехода необходимо контролировать функцию почек и показатели артериального давления. Если уровень артериального давления заметно повышается по сравнению с показателями, которые были зафиксированы до перехода, или значения расчетной СКФ понизились на более чем 25% по сравнению с показателями до лечения оригинальной лекарственной формой циклоспорина в более чем одном измерении, то дозу следует уменьшить</w:t>
      </w:r>
      <w:r w:rsidR="00BF3B05" w:rsidRPr="00A80EE6">
        <w:rPr>
          <w:color w:val="000000" w:themeColor="text1"/>
          <w:szCs w:val="24"/>
          <w:lang w:val="ru-RU"/>
        </w:rPr>
        <w:t xml:space="preserve"> (см. раздел 4.4)</w:t>
      </w:r>
      <w:r w:rsidRPr="00A80EE6">
        <w:rPr>
          <w:color w:val="000000" w:themeColor="text1"/>
          <w:szCs w:val="24"/>
          <w:lang w:val="ru-RU"/>
        </w:rPr>
        <w:t>. В случае развития токсических реакций или при отсутствии клинического эффекта циклоспорина также необходимо контролировать показатели остаточной концентрации циклоспорина в крови.</w:t>
      </w:r>
    </w:p>
    <w:p w14:paraId="632615D5" w14:textId="77777777" w:rsidR="00BF3B05" w:rsidRPr="00A80EE6" w:rsidRDefault="00BF3B05" w:rsidP="00BF3B05">
      <w:pPr>
        <w:pStyle w:val="Text"/>
        <w:spacing w:before="0"/>
        <w:outlineLvl w:val="0"/>
        <w:rPr>
          <w:i/>
          <w:iCs/>
          <w:color w:val="000000" w:themeColor="text1"/>
          <w:szCs w:val="24"/>
          <w:lang w:val="ru-RU"/>
        </w:rPr>
      </w:pPr>
      <w:r w:rsidRPr="00A80EE6">
        <w:rPr>
          <w:i/>
          <w:iCs/>
          <w:color w:val="000000" w:themeColor="text1"/>
          <w:szCs w:val="24"/>
          <w:lang w:val="ru-RU"/>
        </w:rPr>
        <w:t>Переключение между пероральными формами циклоспорина</w:t>
      </w:r>
    </w:p>
    <w:p w14:paraId="4720665E" w14:textId="77777777" w:rsidR="00BF3B05" w:rsidRPr="00A80EE6" w:rsidRDefault="00BF3B05" w:rsidP="00BF3B05">
      <w:pPr>
        <w:pStyle w:val="Text"/>
        <w:spacing w:before="0"/>
        <w:outlineLvl w:val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Переход с одной пероральной формы циклоспорина на другую должен осуществляться под наблюдением врача, включая мониторинг уровня циклоспорина в крови у пациентов после трансплантации.</w:t>
      </w:r>
    </w:p>
    <w:p w14:paraId="410403C2" w14:textId="77777777" w:rsidR="00CD7A2E" w:rsidRPr="00A80EE6" w:rsidRDefault="00CD7A2E" w:rsidP="002879D7">
      <w:pPr>
        <w:pStyle w:val="Text"/>
        <w:spacing w:before="0"/>
        <w:outlineLvl w:val="0"/>
        <w:rPr>
          <w:b/>
          <w:color w:val="000000" w:themeColor="text1"/>
          <w:szCs w:val="24"/>
          <w:lang w:val="ru-RU"/>
        </w:rPr>
      </w:pPr>
      <w:r w:rsidRPr="00A80EE6">
        <w:rPr>
          <w:b/>
          <w:iCs/>
          <w:color w:val="000000" w:themeColor="text1"/>
          <w:szCs w:val="24"/>
          <w:lang w:val="ru-RU"/>
        </w:rPr>
        <w:t>Особые группы пациентов</w:t>
      </w:r>
    </w:p>
    <w:p w14:paraId="5210FAA0" w14:textId="77777777" w:rsidR="00CD7A2E" w:rsidRPr="00A80EE6" w:rsidRDefault="00CD7A2E" w:rsidP="00C737E9">
      <w:pPr>
        <w:pStyle w:val="Text"/>
        <w:spacing w:before="0"/>
        <w:outlineLvl w:val="0"/>
        <w:rPr>
          <w:i/>
          <w:color w:val="000000" w:themeColor="text1"/>
          <w:szCs w:val="24"/>
          <w:lang w:val="ru-RU"/>
        </w:rPr>
      </w:pPr>
      <w:r w:rsidRPr="00A80EE6">
        <w:rPr>
          <w:i/>
          <w:iCs/>
          <w:color w:val="000000" w:themeColor="text1"/>
          <w:szCs w:val="24"/>
          <w:lang w:val="ru-RU"/>
        </w:rPr>
        <w:t>Пациенты с почечной недостаточностью</w:t>
      </w:r>
    </w:p>
    <w:p w14:paraId="6B29F927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Почечная недостаточность не оказывает значительного влияния на фармакокинетику, поскольку циклоспорин подвергается минимальному выведению почками (см. раздел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5.2). Однако из-за нефротоксического потенциала циклоспорина рекомендуется проводить тщательный мониторинг функции почек (см. раздел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4.4).</w:t>
      </w:r>
    </w:p>
    <w:p w14:paraId="44483CBC" w14:textId="77777777" w:rsidR="00CD7A2E" w:rsidRPr="00A80EE6" w:rsidRDefault="00CD7A2E" w:rsidP="00C737E9">
      <w:pPr>
        <w:pStyle w:val="Text"/>
        <w:spacing w:before="0"/>
        <w:outlineLvl w:val="0"/>
        <w:rPr>
          <w:i/>
          <w:color w:val="000000" w:themeColor="text1"/>
          <w:szCs w:val="24"/>
          <w:lang w:val="ru-RU"/>
        </w:rPr>
      </w:pPr>
      <w:proofErr w:type="spellStart"/>
      <w:r w:rsidRPr="00A80EE6">
        <w:rPr>
          <w:i/>
          <w:color w:val="000000" w:themeColor="text1"/>
          <w:szCs w:val="24"/>
          <w:lang w:val="ru-RU"/>
        </w:rPr>
        <w:t>Нетрансплантационные</w:t>
      </w:r>
      <w:proofErr w:type="spellEnd"/>
      <w:r w:rsidRPr="00A80EE6">
        <w:rPr>
          <w:i/>
          <w:color w:val="000000" w:themeColor="text1"/>
          <w:szCs w:val="24"/>
          <w:lang w:val="ru-RU"/>
        </w:rPr>
        <w:t xml:space="preserve"> показания</w:t>
      </w:r>
    </w:p>
    <w:p w14:paraId="224EE3F9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Пациенты с нарушениями функции почек по показаниям, не связанным с трансплантацией, за исключением пациентов с нефротическим синдромом, не должны принимать циклоспорин (см. подраздел </w:t>
      </w:r>
      <w:r w:rsidR="007C196C" w:rsidRPr="00A80EE6">
        <w:rPr>
          <w:color w:val="000000" w:themeColor="text1"/>
          <w:szCs w:val="24"/>
          <w:lang w:val="ru-RU"/>
        </w:rPr>
        <w:t>раздела 4.4</w:t>
      </w:r>
      <w:r w:rsidRPr="00A80EE6">
        <w:rPr>
          <w:color w:val="000000" w:themeColor="text1"/>
          <w:szCs w:val="24"/>
          <w:lang w:val="ru-RU"/>
        </w:rPr>
        <w:t xml:space="preserve"> касательно дополнительных мер предосторожности при показаниях, не связанных с трансплантацией). При нефротическом синдроме у </w:t>
      </w:r>
      <w:r w:rsidR="003C706E" w:rsidRPr="00A80EE6">
        <w:rPr>
          <w:color w:val="000000" w:themeColor="text1"/>
          <w:szCs w:val="24"/>
          <w:lang w:val="ru-RU"/>
        </w:rPr>
        <w:t>пациентов</w:t>
      </w:r>
      <w:r w:rsidRPr="00A80EE6">
        <w:rPr>
          <w:color w:val="000000" w:themeColor="text1"/>
          <w:szCs w:val="24"/>
          <w:lang w:val="ru-RU"/>
        </w:rPr>
        <w:t xml:space="preserve"> с нарушением функции почек начальная доза не должна превышать 2,5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мг/кг в сутки.</w:t>
      </w:r>
    </w:p>
    <w:p w14:paraId="478C7B9B" w14:textId="77777777" w:rsidR="00CD7A2E" w:rsidRPr="00A80EE6" w:rsidRDefault="00CD7A2E" w:rsidP="00C737E9">
      <w:pPr>
        <w:pStyle w:val="Text"/>
        <w:spacing w:before="0"/>
        <w:outlineLvl w:val="0"/>
        <w:rPr>
          <w:i/>
          <w:color w:val="000000" w:themeColor="text1"/>
          <w:szCs w:val="24"/>
          <w:lang w:val="ru-RU"/>
        </w:rPr>
      </w:pPr>
      <w:r w:rsidRPr="00A80EE6">
        <w:rPr>
          <w:i/>
          <w:iCs/>
          <w:color w:val="000000" w:themeColor="text1"/>
          <w:szCs w:val="24"/>
          <w:lang w:val="ru-RU"/>
        </w:rPr>
        <w:t>Пациенты с печеночной недостаточностью</w:t>
      </w:r>
    </w:p>
    <w:p w14:paraId="736ED354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Циклоспорин в значительной степени </w:t>
      </w:r>
      <w:proofErr w:type="spellStart"/>
      <w:r w:rsidRPr="00A80EE6">
        <w:rPr>
          <w:color w:val="000000" w:themeColor="text1"/>
          <w:szCs w:val="24"/>
          <w:lang w:val="ru-RU"/>
        </w:rPr>
        <w:t>метаболизируется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в печени. У пациентов с нарушенной функцией печени может наблюдаться увеличение экспозиции циклоспорина приблизительно в 2–3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раза.</w:t>
      </w:r>
      <w:r w:rsidR="003C706E" w:rsidRPr="00A80EE6">
        <w:rPr>
          <w:color w:val="000000" w:themeColor="text1"/>
          <w:szCs w:val="24"/>
          <w:lang w:val="ru-RU"/>
        </w:rPr>
        <w:t xml:space="preserve"> </w:t>
      </w:r>
      <w:r w:rsidRPr="00A80EE6">
        <w:rPr>
          <w:color w:val="000000" w:themeColor="text1"/>
          <w:szCs w:val="24"/>
          <w:lang w:val="ru-RU"/>
        </w:rPr>
        <w:t>У пациентов с тяжелыми нарушениями функции печени может потребоваться уменьшение дозы для поддержания уровня циклоспорина в крови в пределах рекомендуемого диапазона (см. разделы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 xml:space="preserve">4.4 и 5.2). Рекомендуется контролировать уровень циклоспорина в крови до достижения стабильного уровня. </w:t>
      </w:r>
    </w:p>
    <w:p w14:paraId="7DAE3E8A" w14:textId="77777777" w:rsidR="00CD7A2E" w:rsidRPr="00A80EE6" w:rsidRDefault="00CD7A2E" w:rsidP="00C737E9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Дети</w:t>
      </w:r>
    </w:p>
    <w:p w14:paraId="20A22C3F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В рамках клинических исследований было изучено влияние препарата на детей в возрасте от 1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года. В нескольких исследованиях детям и подросткам требовались и при этом хорошо переносились более высокие дозы циклоспорина на килограмм веса по сравнению с дозами, применяемыми у взрослых пациентов.</w:t>
      </w:r>
    </w:p>
    <w:p w14:paraId="088826F6" w14:textId="255C658D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Применение препарата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Биорал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r w:rsidRPr="00A80EE6">
        <w:rPr>
          <w:color w:val="000000" w:themeColor="text1"/>
          <w:szCs w:val="24"/>
          <w:lang w:val="ru-RU"/>
        </w:rPr>
        <w:t>у детей с показаниями, не связанными с трансплантацией, за исключением пациентов с нефротическим синдромом, не рекомендуется</w:t>
      </w:r>
      <w:r w:rsidR="00AE7FB9" w:rsidRPr="00A80EE6">
        <w:rPr>
          <w:color w:val="000000" w:themeColor="text1"/>
          <w:szCs w:val="24"/>
          <w:lang w:val="ru-RU"/>
        </w:rPr>
        <w:t xml:space="preserve"> (</w:t>
      </w:r>
      <w:proofErr w:type="spellStart"/>
      <w:r w:rsidR="00AE7FB9" w:rsidRPr="00A80EE6">
        <w:rPr>
          <w:color w:val="000000" w:themeColor="text1"/>
          <w:szCs w:val="24"/>
          <w:lang w:val="ru-RU"/>
        </w:rPr>
        <w:t>см.раздел</w:t>
      </w:r>
      <w:proofErr w:type="spellEnd"/>
      <w:r w:rsidR="00AE7FB9" w:rsidRPr="00A80EE6">
        <w:rPr>
          <w:color w:val="000000" w:themeColor="text1"/>
          <w:szCs w:val="24"/>
          <w:lang w:val="ru-RU"/>
        </w:rPr>
        <w:t xml:space="preserve"> 4.4)</w:t>
      </w:r>
      <w:r w:rsidRPr="00A80EE6">
        <w:rPr>
          <w:color w:val="000000" w:themeColor="text1"/>
          <w:szCs w:val="24"/>
          <w:lang w:val="ru-RU"/>
        </w:rPr>
        <w:t>.</w:t>
      </w:r>
    </w:p>
    <w:p w14:paraId="6A4B5613" w14:textId="77777777" w:rsidR="00CD7A2E" w:rsidRPr="00A80EE6" w:rsidRDefault="00CD7A2E" w:rsidP="00C737E9">
      <w:pPr>
        <w:pStyle w:val="Text"/>
        <w:spacing w:before="0"/>
        <w:rPr>
          <w:i/>
          <w:color w:val="000000" w:themeColor="text1"/>
          <w:szCs w:val="24"/>
          <w:lang w:val="ru-RU"/>
        </w:rPr>
      </w:pPr>
      <w:r w:rsidRPr="00A80EE6">
        <w:rPr>
          <w:i/>
          <w:iCs/>
          <w:color w:val="000000" w:themeColor="text1"/>
          <w:szCs w:val="24"/>
          <w:lang w:val="ru-RU"/>
        </w:rPr>
        <w:t>Пациенты пожилого возраста (от 65 лет и старше)</w:t>
      </w:r>
    </w:p>
    <w:p w14:paraId="67320545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Опыт применения препарата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proofErr w:type="spellStart"/>
      <w:r w:rsidR="00B460B2" w:rsidRPr="00A80EE6">
        <w:rPr>
          <w:color w:val="000000" w:themeColor="text1"/>
          <w:szCs w:val="24"/>
          <w:lang w:val="ru-RU"/>
        </w:rPr>
        <w:t>Биорал</w:t>
      </w:r>
      <w:proofErr w:type="spellEnd"/>
      <w:r w:rsidR="00B460B2" w:rsidRPr="00A80EE6">
        <w:rPr>
          <w:color w:val="000000" w:themeColor="text1"/>
          <w:szCs w:val="24"/>
          <w:lang w:val="ru-RU"/>
        </w:rPr>
        <w:t xml:space="preserve"> </w:t>
      </w:r>
      <w:r w:rsidRPr="00A80EE6">
        <w:rPr>
          <w:color w:val="000000" w:themeColor="text1"/>
          <w:szCs w:val="24"/>
          <w:lang w:val="ru-RU"/>
        </w:rPr>
        <w:t>у пожилых пациентов ограничен.</w:t>
      </w:r>
    </w:p>
    <w:p w14:paraId="05011744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По результатам клинических исследований лечения ревматоидного артрита с применением циклоспорина у пациентов в возрасте от 65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 xml:space="preserve">лет и старше чаще наблюдалось развитие систолической гипертензии в ответ на проведение терапии, а </w:t>
      </w:r>
      <w:r w:rsidRPr="00A80EE6">
        <w:rPr>
          <w:color w:val="000000" w:themeColor="text1"/>
          <w:szCs w:val="24"/>
          <w:lang w:val="ru-RU"/>
        </w:rPr>
        <w:lastRenderedPageBreak/>
        <w:t>также повышение концентрации креатинина в сыворотке на ≥50% по сравнению с исходными показателями после курса терапии длительностью от 3 до 4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>месяцев.</w:t>
      </w:r>
    </w:p>
    <w:p w14:paraId="15E62E19" w14:textId="77777777" w:rsidR="00CD7A2E" w:rsidRPr="00A80EE6" w:rsidRDefault="00CD7A2E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Подбирать дозу для пациентов пожилого возраста следует осторожно, при этом необходимо начинать с минимальной дозы и учитывать более высокую частоту снижения функции печени, почек или сердца, наличие сопутствующего заболевания или сопутствующей терапии, а также повышенную восприимчивость к инфекциям.</w:t>
      </w:r>
    </w:p>
    <w:p w14:paraId="3A8336DF" w14:textId="77777777" w:rsidR="00DB4CFB" w:rsidRPr="00A80EE6" w:rsidRDefault="00DB4CFB" w:rsidP="00C737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Способ применения </w:t>
      </w:r>
    </w:p>
    <w:p w14:paraId="0A399520" w14:textId="21D45DCA" w:rsidR="00804FBF" w:rsidRPr="00A80EE6" w:rsidRDefault="006C36AF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8262C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следует пр</w:t>
      </w:r>
      <w:r w:rsidR="003C706E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оглатывать </w:t>
      </w:r>
      <w:r w:rsidR="008262C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целиком.</w:t>
      </w:r>
    </w:p>
    <w:p w14:paraId="5E1AA3FF" w14:textId="77777777" w:rsidR="0015463F" w:rsidRPr="00A80EE6" w:rsidRDefault="0015463F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3F125065" w14:textId="77777777" w:rsidR="00237293" w:rsidRPr="00A80EE6" w:rsidRDefault="00594B94" w:rsidP="00C737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4.3</w:t>
      </w:r>
      <w:r w:rsidR="00AB7006" w:rsidRPr="00A80E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Противопоказания</w:t>
      </w:r>
    </w:p>
    <w:p w14:paraId="3CA2F59A" w14:textId="77777777" w:rsidR="005F2FDE" w:rsidRPr="00A80EE6" w:rsidRDefault="005F2FDE" w:rsidP="00C737E9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повышенная чувствительность к циклоспорину и/или </w:t>
      </w:r>
      <w:r w:rsidR="003C706E" w:rsidRPr="00A80EE6">
        <w:rPr>
          <w:rFonts w:ascii="Times New Roman" w:hAnsi="Times New Roman"/>
          <w:color w:val="000000" w:themeColor="text1"/>
          <w:sz w:val="24"/>
          <w:szCs w:val="24"/>
        </w:rPr>
        <w:t>к любому из вспомогательных веществ, перечисленных в разделе 6.1</w:t>
      </w:r>
    </w:p>
    <w:p w14:paraId="52B4F6A7" w14:textId="29F1B876" w:rsidR="005F2FDE" w:rsidRPr="00A80EE6" w:rsidRDefault="005F2FDE" w:rsidP="00C737E9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комбинация с препаратами, содержащими зверобой продырявленный (</w:t>
      </w:r>
      <w:proofErr w:type="spellStart"/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Hypericum</w:t>
      </w:r>
      <w:proofErr w:type="spellEnd"/>
      <w:r w:rsidR="00B94C6A" w:rsidRPr="00A80EE6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D05677"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</w:t>
      </w: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erforatum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E7FB9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(см. раздел 4.5).</w:t>
      </w:r>
    </w:p>
    <w:p w14:paraId="0367391E" w14:textId="384AFF47" w:rsidR="005F2FDE" w:rsidRPr="00A80EE6" w:rsidRDefault="005F2FDE" w:rsidP="00C737E9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комбинация с препаратами, которые являются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эффлюксными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транспортерами Р-гликопротеина и органическими анион-транспортерами белков, и повышение концентрации в плазме которых приводит к серьезным и</w:t>
      </w:r>
      <w:r w:rsidR="003C706E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жизни угрожающим состояниям, например,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бозентан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дабигатранэтексилат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алискирен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A06DC36" w14:textId="77777777" w:rsidR="004F56ED" w:rsidRPr="00A80EE6" w:rsidRDefault="004F56ED" w:rsidP="00C737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3AD2D1" w14:textId="77777777" w:rsidR="00DB4CFB" w:rsidRPr="00A80EE6" w:rsidRDefault="00DB4CFB" w:rsidP="00C73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4.4 </w:t>
      </w:r>
      <w:r w:rsidRPr="00A80EE6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Особые указания и </w:t>
      </w:r>
      <w:r w:rsidRPr="00A8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меры предосторожности при применении</w:t>
      </w:r>
    </w:p>
    <w:p w14:paraId="3FB6758A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Наблюдение врача</w:t>
      </w:r>
    </w:p>
    <w:p w14:paraId="55C81243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Препарат </w:t>
      </w:r>
      <w:proofErr w:type="spellStart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должен назначаться только врачами, имеющими опыт проведения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иммуносупрессивной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терапии и возможность обеспечить адекватное наблюдение за </w:t>
      </w:r>
      <w:r w:rsidR="003C706E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пациентами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включая регулярное полное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физикальное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обследование, измерение артериального давления и контроль лабораторных показателей безопасности. Наблюдение за </w:t>
      </w:r>
      <w:r w:rsidR="003C706E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пациентами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перенесшими трансплантацию и получающими препарат, следует проводить только в тех учреждениях, которые обеспечены адекватными лабораторными и прочими ресурсами. Врач, ответственный за поддерживающую терапию, должен получать полную информацию по ведению </w:t>
      </w:r>
      <w:r w:rsidR="003C706E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пациента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717A17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Лимфомы и другие новообразования</w:t>
      </w:r>
    </w:p>
    <w:p w14:paraId="5765B7D2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и другие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иммуносупрессанты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циклоспорин увеличивает риск развития лимфом и других новообразований, особенно кожи. Повышенный риск, очевидно, связан со степенью и продолжительностью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иммуносупрессии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, а не с использованием конкретных агентов.</w:t>
      </w:r>
    </w:p>
    <w:p w14:paraId="7449C9AE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Комплексное лечение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иммуносупрессантами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(включая циклоспорин) необходимо назначать с осторожностью, поскольку существует вероятность развития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лимфопролиферативных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нарушений и опухолей солидных органов, которые в некоторых случаях приводят к летальным исходам.</w:t>
      </w:r>
    </w:p>
    <w:p w14:paraId="4DCB029C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потенциальным риском возникновения злокачественных изменений кожи пациенты, получающие </w:t>
      </w:r>
      <w:proofErr w:type="spellStart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, в частности те, кто получает лечение псориаза или атопического дерматита, должны быть предупреждены о вреде чрезмерного пребывания на солнце без надлежащей защиты и не должны одновременно получать ультрафиолетовое излучение типа В или ПУВА-терапию (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псораленоультрафиолетовое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облучение).</w:t>
      </w:r>
    </w:p>
    <w:p w14:paraId="002FF1D1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Инфекции</w:t>
      </w:r>
    </w:p>
    <w:p w14:paraId="4A5C9BEB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и в случае с другими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иммуносупрессантами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применение циклоспорина приводит к развитию различных бактериальных, грибковых, паразитарных и вирусных инфекций, часто с участием оппортунистических патогенов. У пациентов, получающих циклоспорин, активировалась латентная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полиомавирусная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инфекция, которая может привести к возникновению нефропатии, связанной с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полиомавирусом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(PVAN), в частности к вирусной нефропатии</w:t>
      </w:r>
      <w:r w:rsidR="00ED6AEE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(BKVN) с БК</w:t>
      </w:r>
      <w:r w:rsidR="00ED6AEE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(бациллой Коха) или к прогрессирующей мультифокальной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лейкоэнцефалопатии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, связанной с JC-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вирусом (PML). Эти состояния обусловлены высокой общей нагрузкой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иммуносупрессивными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препаратами. Развитие таких состояний следует учитывать при дифференциальной диагностике причин нарушений функции почек и нервной системы пациентов, получающих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иммуносупрессивную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терапию. Сообщалось о серьезных и/или летальных случаях. Необходимо вводить эффективные профилактические и терапевтические мероприятия, особенно в случаях длительного применения комбинированной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иммуносупрессивной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терапии.</w:t>
      </w:r>
    </w:p>
    <w:p w14:paraId="5DD65AAA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Нефротоксичность</w:t>
      </w:r>
      <w:proofErr w:type="spellEnd"/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03612140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лечении препаратом </w:t>
      </w:r>
      <w:proofErr w:type="spellStart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частым и потенциально серьезным осложнением является повышение уровня сывороточного креатинина и мочевины. Эти функциональные изменения зависят от дозы и имеют обратимый характер; обычно при снижении дозы показатели возвращаются к норме. У некоторых пациентов длительное применение препарата может привести к появлению структурных изменений в почках (например, интерстициальный фиброз), которые следует отличать от признаков хронического отторжения у пациентов с трансплантированной почкой. Поэтому требуется частый мониторинг функции почек в соответствии с местными рекомендациями по данному показанию (см. разделы 4.2 и 4.8).</w:t>
      </w:r>
    </w:p>
    <w:p w14:paraId="40454088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Гепатотоксичность</w:t>
      </w:r>
      <w:proofErr w:type="spellEnd"/>
    </w:p>
    <w:p w14:paraId="3BC988A8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Препарат </w:t>
      </w:r>
      <w:proofErr w:type="spellStart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может вызывать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дозозависимое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повышение уровня билирубина и ферментов печени в сыворотке, которое носит обратимый характер (см. раздел 4.8). У пациентов, принимающих циклоспорин, были зарегистрированы случаи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гепатотоксичности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нарушений функции печени, включая холестаз, желтуху, гепатит и печеночную недостаточность. Большинство сообщений касалось пациентов с серьезными сопутствующими заболеваниями, с разными исходными условиями и другими отягощающими факторами, включая инфекционные осложнения и сопутствующее использование потенциально гепатотоксических препаратов. В некоторых случаях, в основном у пациентов после трансплантации, зарегистрированы летальные исходы (см. раздел 4.8). Необходимо проводить тщательный регулярный контроль соответствующих показателей функции печени; при необходимости следует снизить дозу, когда фиксируются отклонения этих показателей от нормы (см. разделы 4.2 и 5.2).</w:t>
      </w:r>
    </w:p>
    <w:p w14:paraId="3D8C7A69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Пациенты пожилого возраста (от 65 лет и старше)</w:t>
      </w:r>
    </w:p>
    <w:p w14:paraId="5140DEC4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 особенно тщательно контролировать функцию почек у пациентов пожилого возраста.</w:t>
      </w:r>
    </w:p>
    <w:p w14:paraId="40AEF020" w14:textId="4EAD1968" w:rsidR="00C020CA" w:rsidRPr="00A80EE6" w:rsidRDefault="005339C1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18" w:name="_Hlk195786265"/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Контроль уровня циклоспорина </w:t>
      </w:r>
      <w:bookmarkEnd w:id="18"/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(см. раздел 4.2)</w:t>
      </w:r>
    </w:p>
    <w:p w14:paraId="123EDD2F" w14:textId="66BF2EE8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применении </w:t>
      </w:r>
      <w:proofErr w:type="spellStart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пациентов после трансплантации в качестве важной меры безопасности необходим тщательный периодический мониторинг уровня циклоспорина в крови. Уровни циклоспорина в крови предпочтительно определять с использованием специфических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моноклональных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антител (определение количества неизмененного препарата) или использовать высокоэффективную жидкостную хроматографию (ВЭЖХ), посредством которой также определяется количество неизмененного препарата. При количественном определении в плазме или сыворотке нужно применять стандартный метод разделения (время и температура). У реципиентов с трансплантированной печенью контроль уровней циклоспорина в крови в начале лечения нужно проводить с помощью только специфических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моноклональных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антител или с помощью параллельных определений с использованием специфических и неспецифических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моноклональных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антител, чтобы обеспечить соответствующую степень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иммуносупрессии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B81A96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нетрансплантационных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пациентов рекомендуется периодический мониторинг концентрации циклоспорина в крови, например, в случаях совместного применения препарата </w:t>
      </w:r>
      <w:proofErr w:type="spellStart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веществами, которые могут вмешиваться в фармакокинетику циклоспорина, или при необычной клинической реакции (такой как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недостаточная эффективность или повышенная непереносимость препарата, приводящая к нарушению почечной функции).</w:t>
      </w:r>
    </w:p>
    <w:p w14:paraId="01E09D0D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Нужно помнить, что уровень циклоспорина в крови, плазме или сыворотке является только одним из многих факторов, влияющих на клиническое состояние пациента. Поэтому результаты следует рассматривать лишь как рекомендации по лечению в контексте целого ряда других клинических и биохимических показателей.</w:t>
      </w:r>
    </w:p>
    <w:p w14:paraId="20F5A3D0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Артериальная гипертензия</w:t>
      </w:r>
    </w:p>
    <w:p w14:paraId="0A9A1CDD" w14:textId="39958F2A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ходе лечения препаратом </w:t>
      </w:r>
      <w:proofErr w:type="spellStart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следует регулярно контролировать показатели артериального давления. Если выявляется артериальная гипертензия, следует провести соответствующее лечение для снижения артериального давления. Предпочтение следует отдавать антигипертензивному средству, не влияющему на фармакокинетику циклоспорина, например,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исрадипину</w:t>
      </w:r>
      <w:proofErr w:type="spellEnd"/>
      <w:r w:rsidR="009B1537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(см. раздел 4.5)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51FA8A" w14:textId="2F99668F" w:rsidR="00C020CA" w:rsidRPr="00A80EE6" w:rsidRDefault="002D0E0B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19" w:name="_Hlk195786280"/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Повышение</w:t>
      </w:r>
      <w:r w:rsidR="00C020CA"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bookmarkEnd w:id="19"/>
      <w:r w:rsidR="00C020CA"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уровня липидов в крови</w:t>
      </w:r>
    </w:p>
    <w:p w14:paraId="45055913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Поскольку были зарегистрированы случаи незначительного обратимого повышения липидов в крови при приеме препарата </w:t>
      </w:r>
      <w:proofErr w:type="spellStart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5261B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, уровни липидов необходимо измерять до и через один месяц после начала лечения. При обнаружении повышенного уровня липидов необходимо уменьшить долю жиров в рационе и, если нужно, рассмотреть возможность снижения дозы.</w:t>
      </w:r>
    </w:p>
    <w:p w14:paraId="7936F8AD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Гиперкалиемия</w:t>
      </w:r>
      <w:proofErr w:type="spellEnd"/>
    </w:p>
    <w:p w14:paraId="4CEF0FB0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приеме циклоспорина увеличивается риск развития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гиперкалиемии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, особенно у пациентов с почечной дисфункцией. С осторожностью назначают циклоспорин в комбинации с калийсберегающими препаратами (например, с калийсберегающими диуретиками, ингибиторами ангиотензин</w:t>
      </w:r>
      <w:r w:rsidR="00ED6AEE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-конвертирующего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фермента, антагонистами рецепторов ангиотензина II) или препаратами, содержащими калий, а также если пациенты находятся на диете, богатой калием. В таких случаях рекомендуется контролировать уровень калия.</w:t>
      </w:r>
    </w:p>
    <w:p w14:paraId="0A39C31C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Гипомагниемия</w:t>
      </w:r>
      <w:proofErr w:type="spellEnd"/>
    </w:p>
    <w:p w14:paraId="64FEB96C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 циклоспорина повышает клиренс магния. Это может привести к развитию симптоматической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гипомагниемии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прежде всего в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перитрансплантационный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период. В течение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перитрансплантационного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периода рекомендуется контролировать уровень магния в сыворотке крови, прежде всего если имеются неврологические симптомы/признаки. Если необходимо, дополнительно следует назначить препараты магния.</w:t>
      </w:r>
    </w:p>
    <w:p w14:paraId="1B1C638A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Гиперурикемия</w:t>
      </w:r>
      <w:proofErr w:type="spellEnd"/>
    </w:p>
    <w:p w14:paraId="2B236FEA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лечении </w:t>
      </w:r>
      <w:r w:rsidR="00ED6AEE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пациентов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гиперурикемией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 проявлять осторожность.</w:t>
      </w:r>
    </w:p>
    <w:p w14:paraId="09892221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Живые </w:t>
      </w:r>
      <w:proofErr w:type="spellStart"/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аттенуированные</w:t>
      </w:r>
      <w:proofErr w:type="spellEnd"/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вакцины</w:t>
      </w:r>
    </w:p>
    <w:p w14:paraId="6CEEEF5A" w14:textId="77777777" w:rsidR="0015463F" w:rsidRPr="00A80EE6" w:rsidRDefault="00C020CA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время лечения циклоспорином вакцинация может быть менее эффективной. Следует избегать применения живых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аттенуированных</w:t>
      </w:r>
      <w:proofErr w:type="spellEnd"/>
      <w:r w:rsidR="0015463F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вакцин.</w:t>
      </w:r>
    </w:p>
    <w:p w14:paraId="256145B6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Взаимодействия</w:t>
      </w:r>
    </w:p>
    <w:p w14:paraId="1FBC0DE4" w14:textId="77777777" w:rsidR="00C020CA" w:rsidRPr="00A80EE6" w:rsidRDefault="00C020CA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Следует проявлять осторожность при совместном применении циклоспорина с препаратами, которые приводят к значимому повышению или снижению концентрации циклоспорина в плазме крови путем подавления или активации CYP3A4 и/или P-гликопротеина (см. раздел 4.5).</w:t>
      </w:r>
    </w:p>
    <w:p w14:paraId="0C6DB534" w14:textId="4822EFAE" w:rsidR="00C020CA" w:rsidRPr="00A80EE6" w:rsidRDefault="00C020CA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совместном назначении циклоспорина с активными веществами, повышающими уровень циклоспорина либо демонстрирующими нефротоксический эффект синергии, следует проводить тщательный мониторинг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нефротоксичности</w:t>
      </w:r>
      <w:proofErr w:type="spellEnd"/>
      <w:r w:rsidR="002D0E0B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(см. раздел 4.5). </w:t>
      </w:r>
      <w:bookmarkStart w:id="20" w:name="_Hlk195786304"/>
      <w:r w:rsidR="002D0E0B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 тщательно следить за клиническим состоянием пациента. Может потребоваться мониторинг уровня циклоспорина в крови и корректировка дозы циклоспорина.</w:t>
      </w:r>
      <w:bookmarkEnd w:id="20"/>
    </w:p>
    <w:p w14:paraId="67CD4968" w14:textId="1A708A21" w:rsidR="00C020CA" w:rsidRPr="00A80EE6" w:rsidRDefault="00C020CA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Следует избегать совместного применения циклоспорина 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такролимуса</w:t>
      </w:r>
      <w:proofErr w:type="spellEnd"/>
      <w:r w:rsidR="002D0E0B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(см. раздел 4.5).</w:t>
      </w:r>
    </w:p>
    <w:p w14:paraId="4985F97E" w14:textId="7959D55F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Циклоспорин является ингибитором CYP3A4,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мультилекарственного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эффлюксного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транспортера P-гликопротеина и транспортных протеинов органических анионов, и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может повышать концентрацию сопутствующих препаратов в плазме крови, являющихся субстратами этого фермента и/или транспортеров.</w:t>
      </w:r>
      <w:r w:rsidR="001001B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Следует осторожно назначать циклоспорин в комбинации с такими препаратами или следует избегать их одновременного приема (см. раздел 4.5). Циклоспорин приводит к повышению воздействия ингибиторов редуктазы HMG-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CoA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статинов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При одновременном применении с циклоспорином дозу этих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статинов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следует снизить, а также следует избегать одновременного применения данных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статинов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указаниям, приведенным в соответствующей инструкции по применению. Терапия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статинами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временно отменена или приостановлена у пациентов с симптомами миопатии или у пациентов с факторами риска развития тяжелых нарушений функции почек, включая вторичную почечную недостаточность, развившуюся вследствие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рабдомиолиза</w:t>
      </w:r>
      <w:proofErr w:type="spellEnd"/>
      <w:r w:rsidR="00A94506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(см. раздел 4.5).</w:t>
      </w:r>
    </w:p>
    <w:p w14:paraId="33C12107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совместного приема циклоспорина и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лерканидипина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площадь под кривой (AUC)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лерканидипина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увеличивалась в три раза, а AUC циклоспорина увеличивалась на 21%. Поэтому следует избегать одновременного применения циклоспорина 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лерканидипина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Прием циклоспорина через 3 часа после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лерканидипина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приводил к изменениям AUC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лерканидипина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, при этом AUC циклоспорина увеличивалась на 27%.</w:t>
      </w:r>
      <w:r w:rsidR="001001B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В комбинации данные препараты необходимо использовать с осторожностью, соблюдая интервал не менее 3 часов.</w:t>
      </w:r>
    </w:p>
    <w:p w14:paraId="131CE39C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Дополнительные меры предосторожности при показаниях, не связанных с трансплантацией</w:t>
      </w:r>
    </w:p>
    <w:p w14:paraId="565497E2" w14:textId="77777777" w:rsidR="00C020CA" w:rsidRPr="00A80EE6" w:rsidRDefault="00ED6AEE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Пациенты</w:t>
      </w:r>
      <w:r w:rsidR="00C020C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нарушенной функцией почек (за исключением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пациентов</w:t>
      </w:r>
      <w:r w:rsidR="00C020C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нефротическим синдромом с допустимой степенью нарушения функции почек), неконтролируемой артериальной гипертензией, неконтролируемыми инфекциями и любыми видами злокачественных опухолей не должны получать циклоспорин.</w:t>
      </w:r>
    </w:p>
    <w:p w14:paraId="0653AC7F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 началом лечения устанавливают исходный достоверный уровень параметров функций почек как минимум в двух измерениях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рСКФ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 Для коррекции дозы почечная функция должна регулярно оцениваться на протяжении терапии (см. раздел 4.2).</w:t>
      </w:r>
    </w:p>
    <w:p w14:paraId="530D2D1F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Дополнительные меры предосторожности при эндогенном увеите</w:t>
      </w:r>
    </w:p>
    <w:p w14:paraId="3B88E5D0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Пациентам с неврологическим синдромом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Бехчета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следует назначать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осторожностью. Неврологический статус пациентов с неврологическим синдромом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Бехчета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следует тщательно контролировать.</w:t>
      </w:r>
    </w:p>
    <w:p w14:paraId="0DE53774" w14:textId="77777777" w:rsidR="0015463F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Опыт применения препарата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у детей с эндогенным увеитом ограничен.</w:t>
      </w:r>
    </w:p>
    <w:p w14:paraId="2D8D1D48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Дополнительные меры предосторожности при нефротическом синдроме</w:t>
      </w:r>
    </w:p>
    <w:p w14:paraId="19A91938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Пациенты с аномальными исходными значениями функции почек на начальном этапе лечения должны получать препарат в дозировке 2,5 мг/кг в сутки. Состояние таких пациентов необходимо регулярно контролировать.</w:t>
      </w:r>
    </w:p>
    <w:p w14:paraId="07392674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Из-за изменений функции почек, обусловленных нефротическим синдромом, у некоторых </w:t>
      </w:r>
      <w:r w:rsidR="00ED6AEE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пациентов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бывает трудно выявить нарушение функции почек, вызванное препаратом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Это объясняет то, что в ряде случаев связанные с препаратом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структурные изменения в почках наблюдались без повышения креатинина сыворотки. Биопсия почки показана </w:t>
      </w:r>
      <w:r w:rsidR="00ED6AEE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пациентам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стероидозависимой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нефропатией минимальных изменений, получавшим поддерживающую терапию препаратом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более года.</w:t>
      </w:r>
    </w:p>
    <w:p w14:paraId="3684F0F4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Были зарегистрированы отдельные случаи развития злокачественных новообразований (включая лимфому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Ходжкина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у пациентов с нефротическим синдромом, которые принимают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иммуносупрессанты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(включая циклоспорин).</w:t>
      </w:r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251C9F0D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Дополнительные меры предосторожности при ревматоидном артрите</w:t>
      </w:r>
    </w:p>
    <w:p w14:paraId="560E8A77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6 месяцев терапии необходимо выполнять оценку функции почек каждые 4–8 недель в зависимости от стабильности заболевания, других принимаемых препаратов и сопутствующих заболеваний. Более частый контроль необходим при повышении дозы препарата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 назначении сопутствующей терапии нестероидными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противовоспалительными препаратами или повышении их дозы. Прекращение лечения необходимо и в том случае, когда во время лечения препаратом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возникает неконтролируемая артериальная гипертензия.</w:t>
      </w:r>
    </w:p>
    <w:p w14:paraId="06E2E1C8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и при другом длительном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иммуносупрессивном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лечении, следует помнить о повышении риска возникновения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лимфопролиферативных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нарушений. Особую осторожность следует соблюдать при использовании препарата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в комбинации с метотрексатом в виду нефротоксической синергии.</w:t>
      </w:r>
    </w:p>
    <w:p w14:paraId="48FC745F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Дополнительные меры предосторожности при псориазе</w:t>
      </w:r>
    </w:p>
    <w:p w14:paraId="18093BA1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Прекращение лечения препаратом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рекомендуется в том случае, когда во время лечения возникает неконтролируемая артериальная гипертензия.</w:t>
      </w:r>
    </w:p>
    <w:p w14:paraId="35413E2B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Назначение препарата </w:t>
      </w:r>
      <w:r w:rsidR="00ED6AEE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пациентам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пожилого возраста возможно только в случаях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инвалидизирующего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псориаза; при этом необходим тщательный контроль функции почек.</w:t>
      </w:r>
    </w:p>
    <w:p w14:paraId="22FAD7AE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Опыт применения препарата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у детей с псориазом ограничен.</w:t>
      </w:r>
    </w:p>
    <w:p w14:paraId="0C3102CF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="00ED6AEE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пациентов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псориазом, получающих лечение препаратом циклоспорин, как и при другом длительном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иммуносупрессивном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лечении, сообщалось о возникновении злокачественных новообразований, особенно кожи. При наличии поражений кожи, не типичных для псориаза, а также при подозрении на их злокачественность или предраковое состояние, следует провести биопсию до начала лечения препаратом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Лечение препаратом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ED6AEE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пациентов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злокачественными или предраковыми поражениями возможно только после соответствующего лечения этих поражений и при отсутствии альтернативной эффективной терапии.</w:t>
      </w:r>
    </w:p>
    <w:p w14:paraId="4F457572" w14:textId="12568C8B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нескольких </w:t>
      </w:r>
      <w:r w:rsidR="00ED6AEE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пациентов</w:t>
      </w:r>
      <w:r w:rsidR="002E19EB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псориазом, получавших лечение препаратом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отмечались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лимфопролиферативные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заболевания. В этих случаях требовалась немедленная отмена препарата.</w:t>
      </w:r>
    </w:p>
    <w:p w14:paraId="36B783BC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Пациенты, принимающие препарат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, не должны получать сопутствующее ультрафиолетовое излучение типа В или ПУВА-фотохимиотерапию.</w:t>
      </w:r>
    </w:p>
    <w:p w14:paraId="39459DA9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Дополнительные меры предосторожности при атопическом дерматите</w:t>
      </w:r>
    </w:p>
    <w:p w14:paraId="3EBE387B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Прекращение лечения препаратом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рекомендуется в том случае, когда во время лечения возникает неконтролируемая артериальная гипертензия.</w:t>
      </w:r>
    </w:p>
    <w:p w14:paraId="2289A997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Опыт применения препарата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у детей с атопическим дерматитом ограничен.</w:t>
      </w:r>
    </w:p>
    <w:p w14:paraId="163BD6B5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Назначение препарата </w:t>
      </w:r>
      <w:r w:rsidR="00ED6AEE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пациентам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пожилого возраста возможно только в случаях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инвалидизирующего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атопического дерматита; при этом необходим тщательный контроль функции почек.</w:t>
      </w:r>
    </w:p>
    <w:p w14:paraId="10A890DC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Доброкачественная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лимфоаденопатия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обычно связана с приливами при атопическом дерматите и неизменно проходит самостоятельно или при общем улучшении течения заболевания.</w:t>
      </w:r>
    </w:p>
    <w:p w14:paraId="2DC9F6C1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Лимфоаденопатию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, появившуюся на фоне лечения циклоспорином, следует регулярно контролировать.</w:t>
      </w:r>
    </w:p>
    <w:p w14:paraId="380C11BF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Лимфоаденопатия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, сохраняющаяся даже при уменьшении активности заболевания, должна быть подвергнута биопсии для исключения лимфомы.</w:t>
      </w:r>
    </w:p>
    <w:p w14:paraId="421198BD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Активное течение простого герпеса следует вылечить перед началом лечения препаратом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 Появление простого герпеса не является причиной для отмены препарата, если лечение уже начато, за исключением тяжелых случаев.</w:t>
      </w:r>
    </w:p>
    <w:p w14:paraId="381D6806" w14:textId="77777777" w:rsidR="00C020CA" w:rsidRPr="00A80EE6" w:rsidRDefault="00C020CA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>Кожные инфекционные заболевания, вызванные золотистым стафилококком (</w:t>
      </w:r>
      <w:r w:rsidRPr="00A80EE6">
        <w:rPr>
          <w:i/>
          <w:iCs/>
          <w:color w:val="000000" w:themeColor="text1"/>
          <w:szCs w:val="24"/>
        </w:rPr>
        <w:t>Staphylococcus</w:t>
      </w:r>
      <w:r w:rsidRPr="00A80EE6">
        <w:rPr>
          <w:i/>
          <w:iCs/>
          <w:color w:val="000000" w:themeColor="text1"/>
          <w:szCs w:val="24"/>
          <w:lang w:val="ru-RU"/>
        </w:rPr>
        <w:t xml:space="preserve"> </w:t>
      </w:r>
      <w:r w:rsidRPr="00A80EE6">
        <w:rPr>
          <w:i/>
          <w:iCs/>
          <w:color w:val="000000" w:themeColor="text1"/>
          <w:szCs w:val="24"/>
        </w:rPr>
        <w:t>aureus</w:t>
      </w:r>
      <w:r w:rsidRPr="00A80EE6">
        <w:rPr>
          <w:i/>
          <w:iCs/>
          <w:color w:val="000000" w:themeColor="text1"/>
          <w:szCs w:val="24"/>
          <w:lang w:val="ru-RU"/>
        </w:rPr>
        <w:t>)</w:t>
      </w:r>
      <w:r w:rsidRPr="00A80EE6">
        <w:rPr>
          <w:color w:val="000000" w:themeColor="text1"/>
          <w:szCs w:val="24"/>
          <w:lang w:val="ru-RU"/>
        </w:rPr>
        <w:t xml:space="preserve">, не являются абсолютным противопоказанием для терапии </w:t>
      </w:r>
      <w:proofErr w:type="spellStart"/>
      <w:r w:rsidR="000F3671" w:rsidRPr="00A80EE6">
        <w:rPr>
          <w:color w:val="000000" w:themeColor="text1"/>
          <w:szCs w:val="24"/>
          <w:lang w:val="ru-RU"/>
        </w:rPr>
        <w:t>Панимун</w:t>
      </w:r>
      <w:proofErr w:type="spellEnd"/>
      <w:r w:rsidR="000F3671" w:rsidRPr="00A80EE6">
        <w:rPr>
          <w:color w:val="000000" w:themeColor="text1"/>
          <w:szCs w:val="24"/>
          <w:lang w:val="kk-KZ"/>
        </w:rPr>
        <w:t xml:space="preserve"> </w:t>
      </w:r>
      <w:proofErr w:type="spellStart"/>
      <w:r w:rsidR="000F3671" w:rsidRPr="00A80EE6">
        <w:rPr>
          <w:color w:val="000000" w:themeColor="text1"/>
          <w:szCs w:val="24"/>
          <w:lang w:val="ru-RU"/>
        </w:rPr>
        <w:t>Биорал</w:t>
      </w:r>
      <w:proofErr w:type="spellEnd"/>
      <w:r w:rsidR="000F3671" w:rsidRPr="00A80EE6">
        <w:rPr>
          <w:color w:val="000000" w:themeColor="text1"/>
          <w:szCs w:val="24"/>
          <w:lang w:val="kk-KZ"/>
        </w:rPr>
        <w:t>ом</w:t>
      </w:r>
      <w:r w:rsidRPr="00A80EE6">
        <w:rPr>
          <w:color w:val="000000" w:themeColor="text1"/>
          <w:szCs w:val="24"/>
          <w:lang w:val="ru-RU"/>
        </w:rPr>
        <w:t>, но должны контролироваться соответствующими антибактериальными препаратами. Следует избегать назначения эритромицина перорально, поскольку он повышает концентрацию циклоспорина в крови (см. раздел</w:t>
      </w:r>
      <w:r w:rsidRPr="00A80EE6">
        <w:rPr>
          <w:color w:val="000000" w:themeColor="text1"/>
          <w:szCs w:val="24"/>
        </w:rPr>
        <w:t> </w:t>
      </w:r>
      <w:r w:rsidRPr="00A80EE6">
        <w:rPr>
          <w:color w:val="000000" w:themeColor="text1"/>
          <w:szCs w:val="24"/>
          <w:lang w:val="ru-RU"/>
        </w:rPr>
        <w:t xml:space="preserve">4.5). При отсутствии альтернативной терапии рекомендуется тщательно </w:t>
      </w:r>
      <w:r w:rsidRPr="00A80EE6">
        <w:rPr>
          <w:color w:val="000000" w:themeColor="text1"/>
          <w:szCs w:val="24"/>
          <w:lang w:val="ru-RU"/>
        </w:rPr>
        <w:lastRenderedPageBreak/>
        <w:t>контролировать концентрацию циклоспорина в крови, почечную функцию и наличие побочных эффектов циклоспорина.</w:t>
      </w:r>
    </w:p>
    <w:p w14:paraId="5B2C6E18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Пациенты, принимающие препарат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, не должны получать сопутствующее ультрафиолетовое излучение типа В или ПУВА-фотохимиотерапию.</w:t>
      </w:r>
    </w:p>
    <w:p w14:paraId="5288663C" w14:textId="77777777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Применение препарата у пациентов педиатрической популяции при показаниях, не связанных с трансплантацией</w:t>
      </w:r>
    </w:p>
    <w:p w14:paraId="55C6EBA1" w14:textId="6351C629" w:rsidR="00C020CA" w:rsidRPr="00A80EE6" w:rsidRDefault="00C020CA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Препарат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0F367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применялся для лечения нефротического синдрома; адекватный опыт применения препарата для лечения других случаев недоступен. Применение препарата у детей до 16 лет по показаниям, не связанным с трансплантацией, за исключением пациентов с нефротическим синдромом, не рекомендуется.</w:t>
      </w:r>
    </w:p>
    <w:p w14:paraId="532BFF04" w14:textId="5881B17A" w:rsidR="00E80D45" w:rsidRPr="00A80EE6" w:rsidRDefault="00E80D45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Вспомогательные вещества</w:t>
      </w:r>
    </w:p>
    <w:p w14:paraId="4B4A658A" w14:textId="3DB39C9B" w:rsidR="00DF3315" w:rsidRPr="00A80EE6" w:rsidRDefault="00CD7BCB" w:rsidP="00CD7B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Данный препарат содержит в своем составе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мальтитол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противопоказан лицам с наследственной непереносимостью фруктозы.</w:t>
      </w:r>
    </w:p>
    <w:p w14:paraId="64592240" w14:textId="3BF8CDDA" w:rsidR="00E80D45" w:rsidRPr="00A80EE6" w:rsidRDefault="00361119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_Hlk195786328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Данный препарат содержит в своем составе пропиленгликоль, что может вызвать эффект, подобный действию алкоголя.</w:t>
      </w:r>
    </w:p>
    <w:bookmarkEnd w:id="21"/>
    <w:p w14:paraId="62DAE85C" w14:textId="77777777" w:rsidR="00361119" w:rsidRPr="00A80EE6" w:rsidRDefault="00361119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26481D" w14:textId="77777777" w:rsidR="00DB4CFB" w:rsidRPr="00A80EE6" w:rsidRDefault="00DB4CFB" w:rsidP="00C73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4.5 Взаимодействия с другими лекарственными препаратами и другие виды взаимодействия</w:t>
      </w:r>
    </w:p>
    <w:p w14:paraId="57A92001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Лекарственные взаимодействия</w:t>
      </w:r>
    </w:p>
    <w:p w14:paraId="0E3DAB4C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Зарегистрированы случаи взаимодействия многих лекарственных препаратов с циклоспорином. Ниже перечислены препараты, взаимодействие которых с циклоспорином является подтвержденным и клинически значимым.</w:t>
      </w:r>
    </w:p>
    <w:p w14:paraId="6EE137CE" w14:textId="15BB794E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Ряд препаратов увеличивает или уменьшает концентрацию циклоспорина в плазме или цельной крови путем конкурирующего ингибирования или индукции действия ферментов, особенно CYP3A4, участвующих в метаболизме циклоспорина. </w:t>
      </w:r>
    </w:p>
    <w:p w14:paraId="5126D8B0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Циклоспорин является, кроме того, ингибитором CYP3A4,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мультилекарственного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эффлюксного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транспортного P-гликопротеина и транспортных протеинов органических анионов, а также может повышать концентрацию сопутствующих препаратов в плазме крови, являющихся субстратами этого фермента и/или транспортеров.</w:t>
      </w:r>
    </w:p>
    <w:p w14:paraId="5A53C5B5" w14:textId="1BC1CACD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Лекарственные препараты, снижающие или повышающие биодоступность циклоспорина: У пациентов с трансплантатом, требуется частое измерение уровня циклоспорина в крови и при необходимости коррекция его дозы, особенно во время назначения или отмены сопутствующего препарата. У пациентов без трансплантата взаимосвязь между уровнем в крови и клиническими эффектами не отчетлива. Если препараты, повышающие уровень циклоспорина, принимаются пациентом одновременно, то частая оценка функции почек и тщательный контроль за побочными эффектами циклоспорина более необходимы, чем измерение уровня циклоспорина в крови.</w:t>
      </w:r>
    </w:p>
    <w:p w14:paraId="5AD48E90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Препараты, снижающие концентрацию циклоспорина</w:t>
      </w:r>
    </w:p>
    <w:p w14:paraId="276E140A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Предполагается, что все индукторы CYP3A4 и/или Р-гликопротеина снижают концентрацию циклоспорина. Примеры препаратов,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снижающих концентрацию циклоспорина:</w:t>
      </w:r>
      <w:r w:rsidR="00ED6AEE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барбитураты,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карбамазепин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окскарбазепин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фенитоин,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нафциллин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сульфадимидин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внутривенно,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пробукол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орлистат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препараты, содержащие зверобой,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тиклопидин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сульфинпиразон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тербинафин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бозентан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4503826C" w14:textId="08C2F5B8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Препараты, содержащие </w:t>
      </w: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зверобой продырявленный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 должны применяться совместно с препаратом </w:t>
      </w:r>
      <w:proofErr w:type="spellStart"/>
      <w:r w:rsidR="00181B1B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181B1B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81B1B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ввиду риска снижения уровня циклоспорина в крови и, следовательно, снижения эффективности</w:t>
      </w:r>
      <w:r w:rsidR="00A716BB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(см. раздел 4.3).</w:t>
      </w:r>
    </w:p>
    <w:p w14:paraId="32AF4B51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Рифампицин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индуцирует метаболизм циклоспорина в кишечнике и печени. Может потребоваться увеличение дозы циклоспорина в 3–5 раз при одновременном применении с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рифампицином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E9335A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Октреотид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уменьшает всасывание циклоспорина при приеме внутрь, и может потребоваться уве</w:t>
      </w:r>
      <w:r w:rsidR="004B1A1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личение дозы циклоспорина на 50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% или переход на внутривенное применение.</w:t>
      </w:r>
    </w:p>
    <w:p w14:paraId="5263BDC4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Препараты, повышающие концентрацию циклоспорина</w:t>
      </w:r>
    </w:p>
    <w:p w14:paraId="5773D946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Все ингибиторы CYP3A4 и/или Р-гликопротеина могут приводить к увеличению концентрации циклоспорина. Примеры:</w:t>
      </w:r>
      <w:r w:rsidR="004B1A1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никардипин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метоклопрамид, пероральные контрацептивы,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метилпреднизолон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(в высоких дозах), аллопуринол,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холиевая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кислота и ее производные, ингибиторы протеазы,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иматиниб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колхицин,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нефазодон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126340CD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Антибиотики-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макролиды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 эритромицин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в 4–7 раз увеличить экспозицию циклоспорина, иногда приводящую к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нефротоксичности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Сообщалось о том, что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кларитромицин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увеличивал экспозицию циклоспорина вдвое.</w:t>
      </w: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Азитромицин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увеличивает уровень циклоспорина примерно на 20%.</w:t>
      </w:r>
    </w:p>
    <w:p w14:paraId="04B9C14F" w14:textId="1E4EF1C2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Азольные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A716BB"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антимикотики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кетоконазол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флуконазол,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итраконазол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и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вориконазол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могут более чем вдвое увеличивать экспозицию циклоспорина.</w:t>
      </w:r>
    </w:p>
    <w:p w14:paraId="65399617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Верапамил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увеличивает концентрацию циклоспорина в крови в 2–3 раза.</w:t>
      </w:r>
    </w:p>
    <w:p w14:paraId="6D3FD881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Одновременное применение с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телапревиром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привело к увеличению примерно в 4,64 раза экспозиции нормализованной дозы циклоспорина (AUC).</w:t>
      </w:r>
    </w:p>
    <w:p w14:paraId="4561B922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Амиодарон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существенно увеличивает концентрацию циклоспорина в плазме одновременно с увеличением содержания креатинина в сыворотке. Это взаимодействие может произойти в течение длительного времени после прекращения приема амиодарона из-за очень продолжительного периода его полураспада (около 50 дней).</w:t>
      </w:r>
    </w:p>
    <w:p w14:paraId="51083953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Сообщалось, что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даназол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увеличивает концентрацию циклоспорина в крови примерно на 50%.</w:t>
      </w:r>
    </w:p>
    <w:p w14:paraId="438BF52D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Дилтиазем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дозе 90 мг в сутки) может увеличить концентрацию циклоспорина в плазме до 50%.</w:t>
      </w:r>
    </w:p>
    <w:p w14:paraId="6B4998E2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Иматиниб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увеличивает экспозицию циклоспорина 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max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примерно на 20%.</w:t>
      </w:r>
    </w:p>
    <w:p w14:paraId="017B18A1" w14:textId="77777777" w:rsidR="00EE39E5" w:rsidRPr="00A80EE6" w:rsidRDefault="00EE39E5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Каннабидиол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(ингибитор P-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gp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):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223E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поступали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сообщения о повышении уровня в крови другого ингибитора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кальциневрина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одновременном применении с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каннабидиолом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Это взаимодействие может происходить из-за ингибирования оттока Р-гликопротеина из кишечника, что приводит к повышению биодоступности ингибитора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кальциневрина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Поэтому циклоспорин 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каннабидиол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следует назначать одновременно с осторожностью, внимательно следя за побочными эффектами. У реципиентов трансплантата следует контролировать минимальные концентрации циклоспорина в цельной крови и при необходимости корректировать дозу циклоспорина. У пациентов без трансплантации следует рассмотреть возможность мониторинга уровня циклоспорина в крови с коррекцией дозы при необходимости (см. разделы 4.2 и 4.4).</w:t>
      </w:r>
    </w:p>
    <w:p w14:paraId="6A6C9C25" w14:textId="77777777" w:rsidR="00EE39E5" w:rsidRPr="00A80EE6" w:rsidRDefault="00EE39E5" w:rsidP="00EE3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Пищевые взаимодействия</w:t>
      </w:r>
    </w:p>
    <w:p w14:paraId="63AF3878" w14:textId="77777777" w:rsidR="005418A6" w:rsidRPr="00A80EE6" w:rsidRDefault="00EE39E5" w:rsidP="00EE3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При одновременном применении препарата с грейпфрутом или грейпфрутовым соком повышается биодоступность циклоспорина.</w:t>
      </w:r>
    </w:p>
    <w:p w14:paraId="541630A7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Комбинации, приводящие к потенциально повышенной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нефротоксичности</w:t>
      </w:r>
      <w:proofErr w:type="spellEnd"/>
    </w:p>
    <w:p w14:paraId="7255676F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Следует осторожно принимать циклоспорин в комбинации с препаратами, которые могут вызвать нефротоксическую синергию:</w:t>
      </w: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аминогликозиды (включая гентамицин и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тобрамицин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),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амфотерицин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В, ципрофлокс</w:t>
      </w:r>
      <w:r w:rsidR="004B1A10"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ацин, ванкомицин, </w:t>
      </w:r>
      <w:proofErr w:type="spellStart"/>
      <w:r w:rsidR="004B1A10"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триметоприм</w:t>
      </w:r>
      <w:proofErr w:type="spellEnd"/>
      <w:r w:rsidR="004B1A10"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(+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сульфаметоксазол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), производные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фиброевой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кислоты (например,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безафибрат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фенофибрат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),</w:t>
      </w:r>
      <w:r w:rsidR="004B1A10"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НПВП (включая диклофенак,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напроксен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сулиндак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),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мелфалан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антагонисты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гистаминовых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Н</w:t>
      </w: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</w:rPr>
        <w:t>2</w:t>
      </w: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-рецепторов (например,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циметидин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ранитидин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), метотрексат (см. раздел 4.4).</w:t>
      </w:r>
    </w:p>
    <w:p w14:paraId="516DF553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проводить тщательный мониторинг функции почек у пациентов, одновременно принимающих препараты, которые могут вызвать своим синергическим действием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нефротоксичность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 В случае значительного почечного нарушения необходимо уменьшить дозировку другого препарата или рассмотреть альтернативное лечение.</w:t>
      </w:r>
    </w:p>
    <w:p w14:paraId="02694F7E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Следует избегать совместного применения циклоспорина с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такролимусом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так как повышается риск развития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нефротоксичности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фармакокинетических взаимодействий с CYP3A4 и (или) P-гликопротеином (см. раздел 4.4).</w:t>
      </w:r>
    </w:p>
    <w:p w14:paraId="1D1B3C30" w14:textId="77777777" w:rsidR="00A3223E" w:rsidRPr="00A80EE6" w:rsidRDefault="00A3223E" w:rsidP="00A3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Влияние ПППД (Противовирусные препараты прямого действия) на терапию</w:t>
      </w:r>
    </w:p>
    <w:p w14:paraId="38E0C5BF" w14:textId="77777777" w:rsidR="00A3223E" w:rsidRPr="00A80EE6" w:rsidRDefault="00A3223E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На фармакокинетику циклоспорина могут влиять изменения функции печени во время терапии ПППД, связанные с клиренсом вируса гепатита С. Требуется тщательный мониторинг и возможная коррекция дозы циклоспорина для обеспечения его эффективности.</w:t>
      </w:r>
    </w:p>
    <w:p w14:paraId="220F05BB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Влияние циклоспорина на другие препараты</w:t>
      </w:r>
    </w:p>
    <w:p w14:paraId="355BAC81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Циклоспорин является ингибитором CYP3A4,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мультилекарственного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эффлюксного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транспортного P-гликопротеина и транспортных протеинов органических анионов. Применение лекарственных препаратов, являющихся субстратами CYP3A4, P-гликопротеина и белков-транспортеров органических анионов, совместно с циклоспорином может повышать концентрацию в плазме крови сопутствующих препаратов, являющихся субстратами этого фермента и/или транспортеров. </w:t>
      </w:r>
    </w:p>
    <w:p w14:paraId="18F594FA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Ниже представлены некоторые примеры.</w:t>
      </w:r>
    </w:p>
    <w:p w14:paraId="2060F292" w14:textId="7444CE36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Циклоспорин может также снижать клиренс </w:t>
      </w: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дигоксина, колхицина, ингибиторов ГМГ-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КоА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редуктазы (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статинов</w:t>
      </w:r>
      <w:proofErr w:type="spellEnd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) и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этопозида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какие-либо из данных препаратов применяются совместно с циклоспорином, необходимо осуществлять тщательное клиническое наблюдение для своевременного определения признаков токсического воздействия лекарственных препаратов. В таких случаях необходимо снижение дозы или прекращение терапии. При одновременном применении с циклоспорином дозу этих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статинов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следует снизить, также следует избегать одновременного применения данных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статинов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указаниям, приведенным в соответствующей инструкции по применению. Сводная информация по изменениям экспозиции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статинов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применяемых обычно с циклоспорином, представлена в таблице 1. Терапия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статинами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временно отменена или приостановлена у пациентов с </w:t>
      </w:r>
      <w:bookmarkStart w:id="22" w:name="_Hlk195786375"/>
      <w:r w:rsidR="004B0333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признаками </w:t>
      </w:r>
      <w:bookmarkEnd w:id="22"/>
      <w:r w:rsidR="004B0333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симптомами миопатии или у пациентов с факторами риска развития тяжелых нарушений функции почек, включая вторичную почечную недостаточность, развившуюся вследствие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рабдомиолиза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4683E9" w14:textId="77777777" w:rsidR="00D42376" w:rsidRPr="00A80EE6" w:rsidRDefault="00D4237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63F5651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Таблица 1.</w:t>
      </w:r>
      <w:r w:rsidRPr="00A80EE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ab/>
        <w:t xml:space="preserve">Сводная информация по изменениям экспозиции </w:t>
      </w:r>
      <w:proofErr w:type="spellStart"/>
      <w:r w:rsidRPr="00A80EE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статинов</w:t>
      </w:r>
      <w:proofErr w:type="spellEnd"/>
      <w:r w:rsidRPr="00A80EE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, применяемых обычно с циклоспорином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968"/>
        <w:gridCol w:w="5010"/>
      </w:tblGrid>
      <w:tr w:rsidR="000E2B75" w:rsidRPr="00A80EE6" w14:paraId="5C02D678" w14:textId="77777777" w:rsidTr="00F91A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A4" w14:textId="77777777" w:rsidR="00E258F6" w:rsidRPr="00A80EE6" w:rsidRDefault="00E258F6" w:rsidP="00C737E9">
            <w:pPr>
              <w:pStyle w:val="Text"/>
              <w:keepNext/>
              <w:spacing w:before="0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 w:rsidRPr="00A80EE6">
              <w:rPr>
                <w:b/>
                <w:bCs/>
                <w:color w:val="000000" w:themeColor="text1"/>
                <w:szCs w:val="24"/>
              </w:rPr>
              <w:t>Статин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62C8" w14:textId="77777777" w:rsidR="00E258F6" w:rsidRPr="00A80EE6" w:rsidRDefault="00E258F6" w:rsidP="00C737E9">
            <w:pPr>
              <w:pStyle w:val="Text"/>
              <w:keepNext/>
              <w:spacing w:before="0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 w:rsidRPr="00A80EE6">
              <w:rPr>
                <w:b/>
                <w:bCs/>
                <w:color w:val="000000" w:themeColor="text1"/>
                <w:szCs w:val="24"/>
              </w:rPr>
              <w:t>Доступные</w:t>
            </w:r>
            <w:proofErr w:type="spellEnd"/>
            <w:r w:rsidRPr="00A80EE6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b/>
                <w:bCs/>
                <w:color w:val="000000" w:themeColor="text1"/>
                <w:szCs w:val="24"/>
              </w:rPr>
              <w:t>дозы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4707" w14:textId="77777777" w:rsidR="00E258F6" w:rsidRPr="00A80EE6" w:rsidRDefault="00E258F6" w:rsidP="00C737E9">
            <w:pPr>
              <w:pStyle w:val="Text"/>
              <w:keepNext/>
              <w:spacing w:before="0"/>
              <w:rPr>
                <w:b/>
                <w:bCs/>
                <w:color w:val="000000" w:themeColor="text1"/>
                <w:szCs w:val="24"/>
                <w:lang w:val="ru-RU"/>
              </w:rPr>
            </w:pPr>
            <w:r w:rsidRPr="00A80EE6">
              <w:rPr>
                <w:b/>
                <w:bCs/>
                <w:color w:val="000000" w:themeColor="text1"/>
                <w:szCs w:val="24"/>
                <w:lang w:val="ru-RU"/>
              </w:rPr>
              <w:t>Кратность изменения экспозиции с применением циклоспорина</w:t>
            </w:r>
          </w:p>
        </w:tc>
      </w:tr>
      <w:tr w:rsidR="000E2B75" w:rsidRPr="00A80EE6" w14:paraId="3225FD5C" w14:textId="77777777" w:rsidTr="00F91A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AE41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Аторвастатин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ECB3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r w:rsidRPr="00A80EE6">
              <w:rPr>
                <w:color w:val="000000" w:themeColor="text1"/>
                <w:szCs w:val="24"/>
              </w:rPr>
              <w:t>10–80 </w:t>
            </w:r>
            <w:proofErr w:type="spellStart"/>
            <w:r w:rsidRPr="00A80EE6">
              <w:rPr>
                <w:color w:val="000000" w:themeColor="text1"/>
                <w:szCs w:val="24"/>
              </w:rPr>
              <w:t>мг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6E2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r w:rsidRPr="00A80EE6">
              <w:rPr>
                <w:color w:val="000000" w:themeColor="text1"/>
                <w:szCs w:val="24"/>
              </w:rPr>
              <w:t>8–10</w:t>
            </w:r>
          </w:p>
        </w:tc>
      </w:tr>
      <w:tr w:rsidR="000E2B75" w:rsidRPr="00A80EE6" w14:paraId="361958FC" w14:textId="77777777" w:rsidTr="00F91A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836B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Симвастатин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8746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r w:rsidRPr="00A80EE6">
              <w:rPr>
                <w:color w:val="000000" w:themeColor="text1"/>
                <w:szCs w:val="24"/>
              </w:rPr>
              <w:t>10–80 </w:t>
            </w:r>
            <w:proofErr w:type="spellStart"/>
            <w:r w:rsidRPr="00A80EE6">
              <w:rPr>
                <w:color w:val="000000" w:themeColor="text1"/>
                <w:szCs w:val="24"/>
              </w:rPr>
              <w:t>мг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5562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r w:rsidRPr="00A80EE6">
              <w:rPr>
                <w:color w:val="000000" w:themeColor="text1"/>
                <w:szCs w:val="24"/>
              </w:rPr>
              <w:t xml:space="preserve">6–8 </w:t>
            </w:r>
          </w:p>
        </w:tc>
      </w:tr>
      <w:tr w:rsidR="000E2B75" w:rsidRPr="00A80EE6" w14:paraId="1B23A6FA" w14:textId="77777777" w:rsidTr="00F91A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80DC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Флувастатин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C12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r w:rsidRPr="00A80EE6">
              <w:rPr>
                <w:color w:val="000000" w:themeColor="text1"/>
                <w:szCs w:val="24"/>
              </w:rPr>
              <w:t>20–80 </w:t>
            </w:r>
            <w:proofErr w:type="spellStart"/>
            <w:r w:rsidRPr="00A80EE6">
              <w:rPr>
                <w:color w:val="000000" w:themeColor="text1"/>
                <w:szCs w:val="24"/>
              </w:rPr>
              <w:t>мг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9890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r w:rsidRPr="00A80EE6">
              <w:rPr>
                <w:color w:val="000000" w:themeColor="text1"/>
                <w:szCs w:val="24"/>
              </w:rPr>
              <w:t>2–4</w:t>
            </w:r>
          </w:p>
        </w:tc>
      </w:tr>
      <w:tr w:rsidR="000E2B75" w:rsidRPr="00A80EE6" w14:paraId="6991E6AB" w14:textId="77777777" w:rsidTr="00F91A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966B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Ловастатин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594A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r w:rsidRPr="00A80EE6">
              <w:rPr>
                <w:color w:val="000000" w:themeColor="text1"/>
                <w:szCs w:val="24"/>
              </w:rPr>
              <w:t>20–40 </w:t>
            </w:r>
            <w:proofErr w:type="spellStart"/>
            <w:r w:rsidRPr="00A80EE6">
              <w:rPr>
                <w:color w:val="000000" w:themeColor="text1"/>
                <w:szCs w:val="24"/>
              </w:rPr>
              <w:t>мг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6498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r w:rsidRPr="00A80EE6">
              <w:rPr>
                <w:color w:val="000000" w:themeColor="text1"/>
                <w:szCs w:val="24"/>
              </w:rPr>
              <w:t>5–8</w:t>
            </w:r>
          </w:p>
        </w:tc>
      </w:tr>
      <w:tr w:rsidR="000E2B75" w:rsidRPr="00A80EE6" w14:paraId="22D4E219" w14:textId="77777777" w:rsidTr="00F91A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2AF4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Правастатин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9DA4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r w:rsidRPr="00A80EE6">
              <w:rPr>
                <w:color w:val="000000" w:themeColor="text1"/>
                <w:szCs w:val="24"/>
              </w:rPr>
              <w:t>20–80 </w:t>
            </w:r>
            <w:proofErr w:type="spellStart"/>
            <w:r w:rsidRPr="00A80EE6">
              <w:rPr>
                <w:color w:val="000000" w:themeColor="text1"/>
                <w:szCs w:val="24"/>
              </w:rPr>
              <w:t>мг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95F7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r w:rsidRPr="00A80EE6">
              <w:rPr>
                <w:color w:val="000000" w:themeColor="text1"/>
                <w:szCs w:val="24"/>
              </w:rPr>
              <w:t>5–10</w:t>
            </w:r>
          </w:p>
        </w:tc>
      </w:tr>
      <w:tr w:rsidR="000E2B75" w:rsidRPr="00A80EE6" w14:paraId="372531AD" w14:textId="77777777" w:rsidTr="00F91A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A9DA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Розувастатин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090F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r w:rsidRPr="00A80EE6">
              <w:rPr>
                <w:color w:val="000000" w:themeColor="text1"/>
                <w:szCs w:val="24"/>
              </w:rPr>
              <w:t>5–40 </w:t>
            </w:r>
            <w:proofErr w:type="spellStart"/>
            <w:r w:rsidRPr="00A80EE6">
              <w:rPr>
                <w:color w:val="000000" w:themeColor="text1"/>
                <w:szCs w:val="24"/>
              </w:rPr>
              <w:t>мг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3767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r w:rsidRPr="00A80EE6">
              <w:rPr>
                <w:color w:val="000000" w:themeColor="text1"/>
                <w:szCs w:val="24"/>
              </w:rPr>
              <w:t>5–10</w:t>
            </w:r>
          </w:p>
        </w:tc>
      </w:tr>
      <w:tr w:rsidR="000E2B75" w:rsidRPr="00A80EE6" w14:paraId="11A6F313" w14:textId="77777777" w:rsidTr="00F91A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89B9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Питавастатин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49D0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r w:rsidRPr="00A80EE6">
              <w:rPr>
                <w:color w:val="000000" w:themeColor="text1"/>
                <w:szCs w:val="24"/>
              </w:rPr>
              <w:t>1–4 </w:t>
            </w:r>
            <w:proofErr w:type="spellStart"/>
            <w:r w:rsidRPr="00A80EE6">
              <w:rPr>
                <w:color w:val="000000" w:themeColor="text1"/>
                <w:szCs w:val="24"/>
              </w:rPr>
              <w:t>мг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6E9B" w14:textId="77777777" w:rsidR="00E258F6" w:rsidRPr="00A80EE6" w:rsidRDefault="00E258F6" w:rsidP="00C737E9">
            <w:pPr>
              <w:pStyle w:val="Text"/>
              <w:keepNext/>
              <w:spacing w:before="0"/>
              <w:rPr>
                <w:bCs/>
                <w:color w:val="000000" w:themeColor="text1"/>
                <w:szCs w:val="24"/>
              </w:rPr>
            </w:pPr>
            <w:r w:rsidRPr="00A80EE6">
              <w:rPr>
                <w:color w:val="000000" w:themeColor="text1"/>
                <w:szCs w:val="24"/>
              </w:rPr>
              <w:t>4–6</w:t>
            </w:r>
          </w:p>
        </w:tc>
      </w:tr>
    </w:tbl>
    <w:p w14:paraId="4CC7CD4F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Поэтому одновременное применение циклоспорина 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лерканидипина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рекомендуется назначать с осторожностью (см. раздел 4.4).</w:t>
      </w:r>
    </w:p>
    <w:p w14:paraId="281C2C63" w14:textId="77777777" w:rsidR="00E258F6" w:rsidRPr="00A80EE6" w:rsidRDefault="00E258F6" w:rsidP="00C737E9">
      <w:pPr>
        <w:pStyle w:val="ae"/>
        <w:spacing w:before="0" w:beforeAutospacing="0" w:after="0" w:afterAutospacing="0"/>
        <w:jc w:val="both"/>
        <w:rPr>
          <w:color w:val="000000" w:themeColor="text1"/>
        </w:rPr>
      </w:pPr>
      <w:r w:rsidRPr="00A80EE6">
        <w:rPr>
          <w:color w:val="000000" w:themeColor="text1"/>
        </w:rPr>
        <w:t xml:space="preserve">После одновременного применения циклоспорина и </w:t>
      </w:r>
      <w:proofErr w:type="spellStart"/>
      <w:r w:rsidRPr="00A80EE6">
        <w:rPr>
          <w:i/>
          <w:iCs/>
          <w:color w:val="000000" w:themeColor="text1"/>
        </w:rPr>
        <w:t>алискирена</w:t>
      </w:r>
      <w:proofErr w:type="spellEnd"/>
      <w:r w:rsidRPr="00A80EE6">
        <w:rPr>
          <w:color w:val="000000" w:themeColor="text1"/>
        </w:rPr>
        <w:t xml:space="preserve">, субстрата P-гликопротеина, </w:t>
      </w:r>
      <w:proofErr w:type="spellStart"/>
      <w:r w:rsidRPr="00A80EE6">
        <w:rPr>
          <w:color w:val="000000" w:themeColor="text1"/>
        </w:rPr>
        <w:t>C</w:t>
      </w:r>
      <w:r w:rsidRPr="00A80EE6">
        <w:rPr>
          <w:color w:val="000000" w:themeColor="text1"/>
          <w:vertAlign w:val="subscript"/>
        </w:rPr>
        <w:t>max</w:t>
      </w:r>
      <w:proofErr w:type="spellEnd"/>
      <w:r w:rsidRPr="00A80EE6">
        <w:rPr>
          <w:color w:val="000000" w:themeColor="text1"/>
        </w:rPr>
        <w:t xml:space="preserve"> </w:t>
      </w:r>
      <w:proofErr w:type="spellStart"/>
      <w:r w:rsidRPr="00A80EE6">
        <w:rPr>
          <w:color w:val="000000" w:themeColor="text1"/>
        </w:rPr>
        <w:t>алискирена</w:t>
      </w:r>
      <w:proofErr w:type="spellEnd"/>
      <w:r w:rsidRPr="00A80EE6">
        <w:rPr>
          <w:color w:val="000000" w:themeColor="text1"/>
        </w:rPr>
        <w:t xml:space="preserve"> увеличилась примерно в 2,5 раза и AUC — примерно в 5 раз. Тем не менее фармакокинетический профиль циклоспорина существенно не меняется. Одновременное применение циклоспорина и </w:t>
      </w:r>
      <w:proofErr w:type="spellStart"/>
      <w:r w:rsidRPr="00A80EE6">
        <w:rPr>
          <w:color w:val="000000" w:themeColor="text1"/>
        </w:rPr>
        <w:t>алискирена</w:t>
      </w:r>
      <w:proofErr w:type="spellEnd"/>
      <w:r w:rsidRPr="00A80EE6">
        <w:rPr>
          <w:color w:val="000000" w:themeColor="text1"/>
        </w:rPr>
        <w:t xml:space="preserve"> не рекомендовано</w:t>
      </w:r>
      <w:r w:rsidR="000C34A9" w:rsidRPr="00A80EE6">
        <w:rPr>
          <w:color w:val="000000" w:themeColor="text1"/>
        </w:rPr>
        <w:t xml:space="preserve"> (см. раздел 4.3)</w:t>
      </w:r>
      <w:r w:rsidRPr="00A80EE6">
        <w:rPr>
          <w:color w:val="000000" w:themeColor="text1"/>
        </w:rPr>
        <w:t>.</w:t>
      </w:r>
    </w:p>
    <w:p w14:paraId="5BDF9FE4" w14:textId="1690632D" w:rsidR="00E258F6" w:rsidRPr="00A80EE6" w:rsidRDefault="00E258F6" w:rsidP="00C737E9">
      <w:pPr>
        <w:pStyle w:val="ae"/>
        <w:spacing w:before="0" w:beforeAutospacing="0" w:after="0" w:afterAutospacing="0"/>
        <w:jc w:val="both"/>
        <w:rPr>
          <w:color w:val="000000" w:themeColor="text1"/>
        </w:rPr>
      </w:pPr>
      <w:r w:rsidRPr="00A80EE6">
        <w:rPr>
          <w:color w:val="000000" w:themeColor="text1"/>
        </w:rPr>
        <w:t xml:space="preserve">Одновременное применение дабигатрана </w:t>
      </w:r>
      <w:bookmarkStart w:id="23" w:name="_Hlk195786390"/>
      <w:proofErr w:type="spellStart"/>
      <w:r w:rsidR="004B0333" w:rsidRPr="00A80EE6">
        <w:rPr>
          <w:color w:val="000000" w:themeColor="text1"/>
        </w:rPr>
        <w:t>этексилата</w:t>
      </w:r>
      <w:proofErr w:type="spellEnd"/>
      <w:r w:rsidR="004B0333" w:rsidRPr="00A80EE6">
        <w:rPr>
          <w:color w:val="000000" w:themeColor="text1"/>
        </w:rPr>
        <w:t xml:space="preserve"> </w:t>
      </w:r>
      <w:bookmarkEnd w:id="23"/>
      <w:r w:rsidRPr="00A80EE6">
        <w:rPr>
          <w:color w:val="000000" w:themeColor="text1"/>
        </w:rPr>
        <w:t>и циклоспорина не рекомендуется в связи с P-</w:t>
      </w:r>
      <w:proofErr w:type="spellStart"/>
      <w:r w:rsidRPr="00A80EE6">
        <w:rPr>
          <w:color w:val="000000" w:themeColor="text1"/>
        </w:rPr>
        <w:t>gp</w:t>
      </w:r>
      <w:proofErr w:type="spellEnd"/>
      <w:r w:rsidRPr="00A80EE6">
        <w:rPr>
          <w:color w:val="000000" w:themeColor="text1"/>
        </w:rPr>
        <w:t xml:space="preserve"> ингибирующей активностью циклоспорина</w:t>
      </w:r>
      <w:r w:rsidR="000C34A9" w:rsidRPr="00A80EE6">
        <w:rPr>
          <w:color w:val="000000" w:themeColor="text1"/>
        </w:rPr>
        <w:t xml:space="preserve"> (см. раздел 4.3)</w:t>
      </w:r>
      <w:r w:rsidRPr="00A80EE6">
        <w:rPr>
          <w:color w:val="000000" w:themeColor="text1"/>
        </w:rPr>
        <w:t>.</w:t>
      </w:r>
    </w:p>
    <w:p w14:paraId="2D05C412" w14:textId="77777777" w:rsidR="00E258F6" w:rsidRPr="00A80EE6" w:rsidRDefault="00E258F6" w:rsidP="00C737E9">
      <w:pPr>
        <w:pStyle w:val="ae"/>
        <w:spacing w:before="0" w:beforeAutospacing="0" w:after="0" w:afterAutospacing="0"/>
        <w:jc w:val="both"/>
        <w:rPr>
          <w:color w:val="000000" w:themeColor="text1"/>
        </w:rPr>
      </w:pPr>
      <w:r w:rsidRPr="00A80EE6">
        <w:rPr>
          <w:color w:val="000000" w:themeColor="text1"/>
        </w:rPr>
        <w:lastRenderedPageBreak/>
        <w:t xml:space="preserve">Одновременное применение </w:t>
      </w:r>
      <w:proofErr w:type="spellStart"/>
      <w:r w:rsidRPr="00A80EE6">
        <w:rPr>
          <w:i/>
          <w:iCs/>
          <w:color w:val="000000" w:themeColor="text1"/>
        </w:rPr>
        <w:t>нифедипина</w:t>
      </w:r>
      <w:proofErr w:type="spellEnd"/>
      <w:r w:rsidRPr="00A80EE6">
        <w:rPr>
          <w:color w:val="000000" w:themeColor="text1"/>
        </w:rPr>
        <w:t xml:space="preserve"> и циклоспорина может привести к увеличению числа случаев гиперплазии десен по сравнению с применением только одного циклоспорина.</w:t>
      </w:r>
    </w:p>
    <w:p w14:paraId="513FC300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Одновременное применение </w:t>
      </w: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диклофенака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циклоспорина приводит к значительному росту биодоступности диклофенака с возможным развитием почечной недостаточности, которая носит обратимый характер. Увеличение биодоступности диклофенака предположительно вызвано снижением его метаболизма при «первом прохождении». Одновременное применение циклоспорина и НПВП, имеющих низкий эффект «первого прохождения» (таких как ацетилсалициловая кислота), как правило, не приводит к ожидаемому увеличению их биодоступности.</w:t>
      </w:r>
    </w:p>
    <w:p w14:paraId="1628B663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одновременном применении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эверолимуса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сиролимуса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полных доз циклоспорина в виде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микроэмульсии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повышается сывороточный креатинин. Этот эффект часто обратим при уменьшении доз циклоспорина.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Эверолимус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сиролимус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незначительно влияют на фармакокинетику циклоспорина. Одновременное применение циклоспорина значительно увеличивает концентрацию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эверолимуса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сиролимуса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крови.</w:t>
      </w:r>
    </w:p>
    <w:p w14:paraId="32E9B035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осторожностью следует назначать циклоспорин и </w:t>
      </w: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калийсберегающие препараты (например, калийсберегающие диуретики, ингибиторы АКФ, антагонисты рецепторов ангиотензина II)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препараты, содержащие калий,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как это может привести к значительному увеличению уровня калия в сыворотке крови</w:t>
      </w:r>
      <w:r w:rsidR="000C34A9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(см. раздел 4.4)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A19BC97" w14:textId="77777777" w:rsidR="00E258F6" w:rsidRPr="00A80EE6" w:rsidRDefault="00E258F6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Циклоспорин также может увеличивать плазменные уровни </w:t>
      </w:r>
      <w:proofErr w:type="spellStart"/>
      <w:r w:rsidRPr="00A80E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репаглинида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, усиливая риск возникновения гипогликемии.</w:t>
      </w:r>
    </w:p>
    <w:p w14:paraId="5864D6CE" w14:textId="77777777" w:rsidR="00E258F6" w:rsidRPr="00A80EE6" w:rsidRDefault="00E258F6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Совместное применение </w:t>
      </w:r>
      <w:proofErr w:type="spellStart"/>
      <w:r w:rsidRPr="00A80EE6">
        <w:rPr>
          <w:i/>
          <w:iCs/>
          <w:color w:val="000000" w:themeColor="text1"/>
          <w:szCs w:val="24"/>
          <w:lang w:val="ru-RU"/>
        </w:rPr>
        <w:t>бозентана</w:t>
      </w:r>
      <w:proofErr w:type="spellEnd"/>
      <w:r w:rsidRPr="00A80EE6">
        <w:rPr>
          <w:i/>
          <w:iCs/>
          <w:color w:val="000000" w:themeColor="text1"/>
          <w:szCs w:val="24"/>
          <w:lang w:val="ru-RU"/>
        </w:rPr>
        <w:t xml:space="preserve"> </w:t>
      </w:r>
      <w:r w:rsidRPr="00A80EE6">
        <w:rPr>
          <w:color w:val="000000" w:themeColor="text1"/>
          <w:szCs w:val="24"/>
          <w:lang w:val="ru-RU"/>
        </w:rPr>
        <w:t xml:space="preserve">и циклоспорина у здоровых добровольцев способствует повышению экспозиции </w:t>
      </w:r>
      <w:proofErr w:type="spellStart"/>
      <w:r w:rsidRPr="00A80EE6">
        <w:rPr>
          <w:color w:val="000000" w:themeColor="text1"/>
          <w:szCs w:val="24"/>
          <w:lang w:val="ru-RU"/>
        </w:rPr>
        <w:t>бозентана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в несколько раз; экспозиция циклоспорина при этом понижается на 35%. Одновременное применение циклоспорина и </w:t>
      </w:r>
      <w:proofErr w:type="spellStart"/>
      <w:r w:rsidRPr="00A80EE6">
        <w:rPr>
          <w:color w:val="000000" w:themeColor="text1"/>
          <w:szCs w:val="24"/>
          <w:lang w:val="ru-RU"/>
        </w:rPr>
        <w:t>бозентана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не рекомендовано</w:t>
      </w:r>
      <w:r w:rsidR="000C34A9" w:rsidRPr="00A80EE6">
        <w:rPr>
          <w:color w:val="000000" w:themeColor="text1"/>
          <w:szCs w:val="24"/>
          <w:lang w:val="ru-RU"/>
        </w:rPr>
        <w:t xml:space="preserve"> (см. раздел 4.3)</w:t>
      </w:r>
      <w:r w:rsidRPr="00A80EE6">
        <w:rPr>
          <w:color w:val="000000" w:themeColor="text1"/>
          <w:szCs w:val="24"/>
          <w:lang w:val="ru-RU"/>
        </w:rPr>
        <w:t>.</w:t>
      </w:r>
    </w:p>
    <w:p w14:paraId="2F917088" w14:textId="77777777" w:rsidR="00E258F6" w:rsidRPr="00A80EE6" w:rsidRDefault="00E258F6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Введение многократных доз </w:t>
      </w:r>
      <w:proofErr w:type="spellStart"/>
      <w:r w:rsidRPr="00A80EE6">
        <w:rPr>
          <w:i/>
          <w:iCs/>
          <w:color w:val="000000" w:themeColor="text1"/>
          <w:szCs w:val="24"/>
          <w:lang w:val="ru-RU"/>
        </w:rPr>
        <w:t>амбрисентана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и циклоспорина здоровым добровольцам приводило примерно к 2-кратному увеличению экспозиции </w:t>
      </w:r>
      <w:proofErr w:type="spellStart"/>
      <w:r w:rsidRPr="00A80EE6">
        <w:rPr>
          <w:color w:val="000000" w:themeColor="text1"/>
          <w:szCs w:val="24"/>
          <w:lang w:val="ru-RU"/>
        </w:rPr>
        <w:t>амбрисентана</w:t>
      </w:r>
      <w:proofErr w:type="spellEnd"/>
      <w:r w:rsidRPr="00A80EE6">
        <w:rPr>
          <w:color w:val="000000" w:themeColor="text1"/>
          <w:szCs w:val="24"/>
          <w:lang w:val="ru-RU"/>
        </w:rPr>
        <w:t>, а экспозиция циклоспорина была увеличена незначительно (примерно на 10%).</w:t>
      </w:r>
    </w:p>
    <w:p w14:paraId="7996E71F" w14:textId="77777777" w:rsidR="00E258F6" w:rsidRPr="00A80EE6" w:rsidRDefault="00E258F6" w:rsidP="00C737E9">
      <w:pPr>
        <w:pStyle w:val="Text"/>
        <w:spacing w:before="0"/>
        <w:rPr>
          <w:color w:val="000000" w:themeColor="text1"/>
          <w:szCs w:val="24"/>
          <w:lang w:val="ru-RU"/>
        </w:rPr>
      </w:pPr>
      <w:r w:rsidRPr="00A80EE6">
        <w:rPr>
          <w:color w:val="000000" w:themeColor="text1"/>
          <w:szCs w:val="24"/>
          <w:lang w:val="ru-RU"/>
        </w:rPr>
        <w:t xml:space="preserve">Значительно повышается экспозиция </w:t>
      </w:r>
      <w:r w:rsidRPr="00A80EE6">
        <w:rPr>
          <w:i/>
          <w:iCs/>
          <w:color w:val="000000" w:themeColor="text1"/>
          <w:szCs w:val="24"/>
          <w:lang w:val="ru-RU"/>
        </w:rPr>
        <w:t>антибиотиков</w:t>
      </w:r>
      <w:r w:rsidRPr="00A80EE6">
        <w:rPr>
          <w:color w:val="000000" w:themeColor="text1"/>
          <w:szCs w:val="24"/>
          <w:lang w:val="ru-RU"/>
        </w:rPr>
        <w:t xml:space="preserve"> группы </w:t>
      </w:r>
      <w:proofErr w:type="spellStart"/>
      <w:r w:rsidRPr="00A80EE6">
        <w:rPr>
          <w:i/>
          <w:iCs/>
          <w:color w:val="000000" w:themeColor="text1"/>
          <w:szCs w:val="24"/>
          <w:lang w:val="ru-RU"/>
        </w:rPr>
        <w:t>антрациклина</w:t>
      </w:r>
      <w:proofErr w:type="spellEnd"/>
      <w:r w:rsidR="00C737E9" w:rsidRPr="00A80EE6">
        <w:rPr>
          <w:i/>
          <w:iCs/>
          <w:color w:val="000000" w:themeColor="text1"/>
          <w:szCs w:val="24"/>
          <w:lang w:val="ru-RU"/>
        </w:rPr>
        <w:t xml:space="preserve"> (</w:t>
      </w:r>
      <w:r w:rsidRPr="00A80EE6">
        <w:rPr>
          <w:i/>
          <w:iCs/>
          <w:color w:val="000000" w:themeColor="text1"/>
          <w:szCs w:val="24"/>
          <w:lang w:val="ru-RU"/>
        </w:rPr>
        <w:t xml:space="preserve">например, </w:t>
      </w:r>
      <w:proofErr w:type="spellStart"/>
      <w:r w:rsidRPr="00A80EE6">
        <w:rPr>
          <w:i/>
          <w:iCs/>
          <w:color w:val="000000" w:themeColor="text1"/>
          <w:szCs w:val="24"/>
          <w:lang w:val="ru-RU"/>
        </w:rPr>
        <w:t>доксорубицина</w:t>
      </w:r>
      <w:proofErr w:type="spellEnd"/>
      <w:r w:rsidRPr="00A80EE6">
        <w:rPr>
          <w:i/>
          <w:iCs/>
          <w:color w:val="000000" w:themeColor="text1"/>
          <w:szCs w:val="24"/>
          <w:lang w:val="ru-RU"/>
        </w:rPr>
        <w:t xml:space="preserve">, </w:t>
      </w:r>
      <w:proofErr w:type="spellStart"/>
      <w:r w:rsidRPr="00A80EE6">
        <w:rPr>
          <w:i/>
          <w:iCs/>
          <w:color w:val="000000" w:themeColor="text1"/>
          <w:szCs w:val="24"/>
          <w:lang w:val="ru-RU"/>
        </w:rPr>
        <w:t>митоксантрона</w:t>
      </w:r>
      <w:proofErr w:type="spellEnd"/>
      <w:r w:rsidRPr="00A80EE6">
        <w:rPr>
          <w:i/>
          <w:iCs/>
          <w:color w:val="000000" w:themeColor="text1"/>
          <w:szCs w:val="24"/>
          <w:lang w:val="ru-RU"/>
        </w:rPr>
        <w:t xml:space="preserve">, </w:t>
      </w:r>
      <w:proofErr w:type="spellStart"/>
      <w:r w:rsidRPr="00A80EE6">
        <w:rPr>
          <w:i/>
          <w:iCs/>
          <w:color w:val="000000" w:themeColor="text1"/>
          <w:szCs w:val="24"/>
          <w:lang w:val="ru-RU"/>
        </w:rPr>
        <w:t>даунорубицина</w:t>
      </w:r>
      <w:proofErr w:type="spellEnd"/>
      <w:r w:rsidRPr="00A80EE6">
        <w:rPr>
          <w:i/>
          <w:iCs/>
          <w:color w:val="000000" w:themeColor="text1"/>
          <w:szCs w:val="24"/>
          <w:lang w:val="ru-RU"/>
        </w:rPr>
        <w:t>)</w:t>
      </w:r>
      <w:r w:rsidRPr="00A80EE6">
        <w:rPr>
          <w:color w:val="000000" w:themeColor="text1"/>
          <w:szCs w:val="24"/>
          <w:lang w:val="ru-RU"/>
        </w:rPr>
        <w:t xml:space="preserve"> у онкологических больных при одновременном внутривенном применении антибиотиков группы </w:t>
      </w:r>
      <w:proofErr w:type="spellStart"/>
      <w:r w:rsidRPr="00A80EE6">
        <w:rPr>
          <w:color w:val="000000" w:themeColor="text1"/>
          <w:szCs w:val="24"/>
          <w:lang w:val="ru-RU"/>
        </w:rPr>
        <w:t>антрациклина</w:t>
      </w:r>
      <w:proofErr w:type="spellEnd"/>
      <w:r w:rsidRPr="00A80EE6">
        <w:rPr>
          <w:color w:val="000000" w:themeColor="text1"/>
          <w:szCs w:val="24"/>
          <w:lang w:val="ru-RU"/>
        </w:rPr>
        <w:t xml:space="preserve"> и очень высоких доз циклоспорина.</w:t>
      </w:r>
    </w:p>
    <w:p w14:paraId="2D2D88AC" w14:textId="77777777" w:rsidR="00E258F6" w:rsidRPr="00A80EE6" w:rsidRDefault="00E258F6" w:rsidP="00C737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Во время лечения циклоспорином вакцинация может быть менее эффективной; использования живых ослабленных вакцин следует избегать.</w:t>
      </w:r>
    </w:p>
    <w:p w14:paraId="79C85543" w14:textId="77777777" w:rsidR="00065E5F" w:rsidRPr="00A80EE6" w:rsidRDefault="00065E5F" w:rsidP="00065E5F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bookmarkStart w:id="24" w:name="_Hlk195786410"/>
      <w:r w:rsidRPr="00A80EE6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Взаимодействия, приводящие к снижению уровня других препаратов</w:t>
      </w:r>
    </w:p>
    <w:p w14:paraId="4CCBD378" w14:textId="093C5176" w:rsidR="00065E5F" w:rsidRPr="00A80EE6" w:rsidRDefault="00065E5F" w:rsidP="00065E5F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</w:rPr>
        <w:t xml:space="preserve">Одновременное применение циклоспорина и микофенолата натрия или микофенолата мофетила у пациентов с трансплантатами может снизить среднюю экспозицию микофеноловой кислоты на 20-50% по сравнению с другими </w:t>
      </w:r>
      <w:r w:rsidR="00834102" w:rsidRPr="00A80EE6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</w:rPr>
        <w:t>иммуносупрессантами.</w:t>
      </w:r>
      <w:r w:rsidRPr="00A80EE6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</w:rPr>
        <w:t xml:space="preserve"> Эту информацию следует принимать во внимание, особенно в случае прерывания или прекращения терапии циклоспорином.</w:t>
      </w:r>
    </w:p>
    <w:p w14:paraId="6F544DCA" w14:textId="7F2204E3" w:rsidR="00065E5F" w:rsidRPr="00A80EE6" w:rsidRDefault="00065E5F" w:rsidP="00065E5F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</w:rPr>
        <w:t>Совместное назначение одной дозы циклоспорина (200 мг или 600 мг) с одной дозой элтромбопага (50 мг) снижало AUC</w:t>
      </w:r>
      <w:r w:rsidRPr="00A80EE6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  <w:vertAlign w:val="subscript"/>
        </w:rPr>
        <w:t>inf</w:t>
      </w:r>
      <w:r w:rsidR="00440AB6" w:rsidRPr="00A80EE6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  <w:vertAlign w:val="subscript"/>
        </w:rPr>
        <w:t xml:space="preserve"> </w:t>
      </w:r>
      <w:r w:rsidRPr="00A80EE6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  <w:vertAlign w:val="subscript"/>
        </w:rPr>
        <w:t xml:space="preserve"> </w:t>
      </w:r>
      <w:r w:rsidRPr="00A80EE6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</w:rPr>
        <w:t>элтромбопага в плазме на 18-24% и C</w:t>
      </w:r>
      <w:r w:rsidRPr="00A80EE6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  <w:vertAlign w:val="subscript"/>
        </w:rPr>
        <w:t>max</w:t>
      </w:r>
      <w:r w:rsidR="00440AB6" w:rsidRPr="00A80EE6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  <w:vertAlign w:val="subscript"/>
        </w:rPr>
        <w:t xml:space="preserve"> </w:t>
      </w:r>
      <w:r w:rsidRPr="00A80EE6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  <w:vertAlign w:val="subscript"/>
        </w:rPr>
        <w:t xml:space="preserve"> </w:t>
      </w:r>
      <w:r w:rsidRPr="00A80EE6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</w:rPr>
        <w:t>на 25-39%. В ходе лечения допускается корректировка дозы элтромбопага в зависимости от уровня тромбоцитов у пациента. При совместном назначении элтромбопага с циклоспорином следует контролировать уровень тромбоцитов не реже одного раза в неделю в течение 2-3 недель. Дозу элтромбопага может потребоваться увеличить на основании данных об уровне тромбоцитов.</w:t>
      </w:r>
    </w:p>
    <w:bookmarkEnd w:id="24"/>
    <w:p w14:paraId="46E1046D" w14:textId="2E39C061" w:rsidR="0070377D" w:rsidRPr="00A80EE6" w:rsidRDefault="0070377D" w:rsidP="00C737E9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Дети</w:t>
      </w:r>
    </w:p>
    <w:p w14:paraId="4173B08D" w14:textId="77777777" w:rsidR="0070377D" w:rsidRPr="00A80EE6" w:rsidRDefault="0070377D" w:rsidP="00C737E9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 лекарственного взаимодействия выполнялись только у взрослых пациентов.</w:t>
      </w:r>
    </w:p>
    <w:p w14:paraId="0E48DABB" w14:textId="77777777" w:rsidR="00F91A3E" w:rsidRPr="00A80EE6" w:rsidRDefault="00F91A3E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FBF2AE" w14:textId="77777777" w:rsidR="00CD268A" w:rsidRPr="00A80EE6" w:rsidRDefault="00CD268A" w:rsidP="00C73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4.6 Фертильность, беременность и лактация.</w:t>
      </w:r>
    </w:p>
    <w:p w14:paraId="203B8018" w14:textId="6A39A0B7" w:rsidR="00440AB6" w:rsidRPr="00A80EE6" w:rsidRDefault="00F70174" w:rsidP="00440A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Style w:val="22"/>
          <w:rFonts w:eastAsiaTheme="minorEastAsia"/>
          <w:i/>
          <w:color w:val="000000" w:themeColor="text1"/>
          <w:sz w:val="24"/>
          <w:szCs w:val="24"/>
          <w:u w:val="none"/>
          <w:lang w:val="ru-RU"/>
        </w:rPr>
        <w:t>Беременность</w:t>
      </w:r>
    </w:p>
    <w:p w14:paraId="171230C1" w14:textId="2FE505DA" w:rsidR="00440AB6" w:rsidRPr="00A80EE6" w:rsidRDefault="00440AB6" w:rsidP="00440A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Адекватных и хорошо контролируемых клинических исследований применения циклоспорина у беременных женщин не проводилось. Имеется умеренное количество данных о применении циклоспорина у беременных пациенток, полученных из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постмаркетингового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опыта, включая трансплантационные реестры и опубликованную литературу, причем большинство случаев относится к реципиентам трансплантатов. Беременные женщины, получающие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иммуносупрессивную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терапию после трансплантации, включая циклоспорин и содержащие циклоспорин схемы, подвержены риску преждевременных родов (&lt;37 недель).</w:t>
      </w:r>
    </w:p>
    <w:p w14:paraId="01FB60E0" w14:textId="62BAB600" w:rsidR="00440AB6" w:rsidRPr="00A80EE6" w:rsidRDefault="00440AB6" w:rsidP="00440A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исследованиях эмбрионального и фетального развития (EFD), проведённых на крысах и кроликах, циклоспорин вызывал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эмбриофетальную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токсичность при уровнях доз, ниже максимальной рекомендованной дозы для человека (MRHD), рассчитанной на основании площади поверхности тела (BSA) (см. раздел 5.3).</w:t>
      </w:r>
    </w:p>
    <w:p w14:paraId="1E04C8DB" w14:textId="18635299" w:rsidR="00440AB6" w:rsidRPr="00A80EE6" w:rsidRDefault="00440AB6" w:rsidP="00440A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" w:name="_Hlk195786505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Препарат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следует применять во время беременности, за исключением случаев, когда предполагаемая польза для матери превышает потенциальный риск для плода. Содержание этанола в препаратах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также должно учитываться у беременных женщин (см. раздел 4.4).</w:t>
      </w:r>
    </w:p>
    <w:bookmarkEnd w:id="25"/>
    <w:p w14:paraId="0D5428BB" w14:textId="35646DAE" w:rsidR="00440AB6" w:rsidRPr="00A80EE6" w:rsidRDefault="00440AB6" w:rsidP="00440A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опубликованным данным Национального реестра беременностей при трансплантации (NTPR), описаны исходы беременности у женщин-реципиентов почек (482), печени (97) и сердца (43), получавших циклоспорин. Данные указывают на успешное течение беременности с частотой живорождения 76%, 76,9% и 64% у реципиентов почек, печени и сердца соответственно. Преждевременные роды (&lt;37 недель) были зарегистрированы у 52%, 35% и 35% соответственно.</w:t>
      </w:r>
    </w:p>
    <w:p w14:paraId="74C28D45" w14:textId="6B8376BE" w:rsidR="00440AB6" w:rsidRPr="00A80EE6" w:rsidRDefault="00440AB6" w:rsidP="00440A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Частота самопроизвольных выкидышей и серьёзных врождённых пороков развития была сопоставима с показателями, наблюдаемыми в общей популяции. Потенциальное прямое влияние циклоспорина на развитие материнской гипертензии,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преэклампсии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инфекций или диабета исключить нельзя, учитывая ограничения, присущие реестрам 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постмаркетинговой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отчётности по безопасности.</w:t>
      </w:r>
    </w:p>
    <w:p w14:paraId="1BD40502" w14:textId="66B29177" w:rsidR="00DA4FA8" w:rsidRPr="00A80EE6" w:rsidRDefault="00440AB6" w:rsidP="00440A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Имеются ограниченные данные наблюдения за детьми, подвергшимися внутриутробному воздействию циклоспорина, до возраста примерно 7 лет. У этих детей функция почек и артериальное давление были в пределах нормы.</w:t>
      </w:r>
    </w:p>
    <w:p w14:paraId="5F935B23" w14:textId="77777777" w:rsidR="00F70174" w:rsidRPr="00A80EE6" w:rsidRDefault="00F70174" w:rsidP="00C737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Период грудного вскармливания</w:t>
      </w:r>
    </w:p>
    <w:p w14:paraId="331C247C" w14:textId="4F49A99F" w:rsidR="00F70174" w:rsidRPr="00A80EE6" w:rsidRDefault="00F70174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Hlk195786535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Циклоспорин проникает в грудное молоко. </w:t>
      </w:r>
      <w:r w:rsidR="000C34A9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Также следует учитывать содержание этанола в составе препарата</w:t>
      </w:r>
      <w:r w:rsidR="00C575F8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(см. раздел 4.4).</w:t>
      </w:r>
      <w:r w:rsidR="000C34A9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Женщины, получающие </w:t>
      </w:r>
      <w:proofErr w:type="spellStart"/>
      <w:r w:rsidR="0013743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13743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13743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, не должны кормить грудью, так как препарат</w:t>
      </w:r>
      <w:r w:rsidR="00C737E9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потенциально может вызывать тяжелые нежелательные реакции у новорожденных младенцев, вскармливаемых грудным молоком. Следует принять решение относительно отказа от приема лекарственного средства в период кормления грудью либо наоборот, учитывая важность препарата для матери.</w:t>
      </w:r>
    </w:p>
    <w:bookmarkEnd w:id="26"/>
    <w:p w14:paraId="14828154" w14:textId="555DB23A" w:rsidR="00C575F8" w:rsidRPr="00A80EE6" w:rsidRDefault="00C575F8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По ограниченным данным, соотношение концентрации циклоспорина в молоке и крови матери находится в диапазоне от 0,17 до 1,4. На основании данных о потреблении молока младенцем, максимальная расчетная доза циклоспорина, поступившая в организм ребенка, находящегося на полном грудном вскармливании, составила около 2% от дозы, скорректированной по весу матери.</w:t>
      </w:r>
    </w:p>
    <w:p w14:paraId="59B0698F" w14:textId="77777777" w:rsidR="00F70174" w:rsidRPr="00A80EE6" w:rsidRDefault="00F70174" w:rsidP="00C737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Фертильность</w:t>
      </w:r>
    </w:p>
    <w:p w14:paraId="5FCE7BD9" w14:textId="7A7F1724" w:rsidR="00F70174" w:rsidRPr="00A80EE6" w:rsidRDefault="00F70174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Имеющиеся данные о влиянии препарата </w:t>
      </w:r>
      <w:proofErr w:type="spellStart"/>
      <w:r w:rsidR="0013743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13743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13743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137431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на фертильность человека ограничены (см. раздел 5.3).</w:t>
      </w:r>
      <w:r w:rsidR="00C575F8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самцов и самок крыс при дозе до 15 мг/кг/день (ниже MRHD на основе BSA) не наблюдалось отрицательного влияния на фертильность (см. раздел 5.3).</w:t>
      </w:r>
    </w:p>
    <w:p w14:paraId="0F721910" w14:textId="77777777" w:rsidR="00D42376" w:rsidRPr="00A80EE6" w:rsidRDefault="00D42376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7383D80" w14:textId="77777777" w:rsidR="004B1A10" w:rsidRPr="00A80EE6" w:rsidRDefault="00767396" w:rsidP="00C737E9">
      <w:pPr>
        <w:pStyle w:val="ae"/>
        <w:spacing w:before="0" w:beforeAutospacing="0" w:after="0" w:afterAutospacing="0"/>
        <w:jc w:val="both"/>
        <w:rPr>
          <w:rStyle w:val="ad"/>
          <w:color w:val="000000" w:themeColor="text1"/>
        </w:rPr>
      </w:pPr>
      <w:r w:rsidRPr="00A80EE6">
        <w:rPr>
          <w:b/>
          <w:color w:val="000000" w:themeColor="text1"/>
        </w:rPr>
        <w:lastRenderedPageBreak/>
        <w:t>4.7</w:t>
      </w:r>
      <w:r w:rsidR="005E6AD6" w:rsidRPr="00A80EE6">
        <w:rPr>
          <w:b/>
          <w:color w:val="000000" w:themeColor="text1"/>
        </w:rPr>
        <w:t xml:space="preserve"> </w:t>
      </w:r>
      <w:r w:rsidR="000B1A40" w:rsidRPr="00A80EE6">
        <w:rPr>
          <w:rStyle w:val="ad"/>
          <w:color w:val="000000" w:themeColor="text1"/>
        </w:rPr>
        <w:t>В</w:t>
      </w:r>
      <w:r w:rsidR="005E6AD6" w:rsidRPr="00A80EE6">
        <w:rPr>
          <w:rStyle w:val="ad"/>
          <w:color w:val="000000" w:themeColor="text1"/>
        </w:rPr>
        <w:t>лияния на способность управл</w:t>
      </w:r>
      <w:r w:rsidR="00BF68DD" w:rsidRPr="00A80EE6">
        <w:rPr>
          <w:rStyle w:val="ad"/>
          <w:color w:val="000000" w:themeColor="text1"/>
        </w:rPr>
        <w:t>ять транспортными средствами и</w:t>
      </w:r>
      <w:r w:rsidR="005E6AD6" w:rsidRPr="00A80EE6">
        <w:rPr>
          <w:rStyle w:val="ad"/>
          <w:color w:val="000000" w:themeColor="text1"/>
        </w:rPr>
        <w:t xml:space="preserve"> потенциально опасными механизмами</w:t>
      </w:r>
    </w:p>
    <w:p w14:paraId="7CF50E90" w14:textId="45792FC3" w:rsidR="00DA1A71" w:rsidRPr="00A80EE6" w:rsidRDefault="00DA1A71" w:rsidP="00DA1A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bookmarkStart w:id="27" w:name="_Hlk195786609"/>
      <w:proofErr w:type="spellStart"/>
      <w:r w:rsidRPr="00A80E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Панимун</w:t>
      </w:r>
      <w:proofErr w:type="spellEnd"/>
      <w:r w:rsidRPr="00A80E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80E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Биорал</w:t>
      </w:r>
      <w:proofErr w:type="spellEnd"/>
      <w:r w:rsidRPr="00A80E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может вызывать неврологические и зрительные нарушения (см. раздел 4.8). </w:t>
      </w:r>
      <w:proofErr w:type="spellStart"/>
      <w:r w:rsidRPr="00A80E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Панимун</w:t>
      </w:r>
      <w:proofErr w:type="spellEnd"/>
      <w:r w:rsidRPr="00A80E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80E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Биорал</w:t>
      </w:r>
      <w:proofErr w:type="spellEnd"/>
      <w:r w:rsidRPr="00A80E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может оказывать умеренное влияние на способность управлять транспортными средствами и работу с механизмами. Следует соблюдать осторожность при вождении автомобиля или работе с техникой.</w:t>
      </w:r>
    </w:p>
    <w:p w14:paraId="68B0D82D" w14:textId="2D939FF2" w:rsidR="00C575F8" w:rsidRPr="00A80EE6" w:rsidRDefault="00DA1A71" w:rsidP="00DA1A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A80E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Исследования по влиянию циклоспорина на способность управлять транспортными средствами и работу с механизмами не проводились.</w:t>
      </w:r>
    </w:p>
    <w:bookmarkEnd w:id="27"/>
    <w:p w14:paraId="124CBF4F" w14:textId="77777777" w:rsidR="00DA1A71" w:rsidRPr="00A80EE6" w:rsidRDefault="00DA1A71" w:rsidP="00DA1A7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F18C35" w14:textId="77777777" w:rsidR="004763C8" w:rsidRPr="00A80EE6" w:rsidRDefault="004763C8" w:rsidP="00C737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4.8 </w:t>
      </w:r>
      <w:r w:rsidR="005B745B" w:rsidRPr="00A80EE6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Нежелательные реакции</w:t>
      </w:r>
    </w:p>
    <w:p w14:paraId="5F9CA704" w14:textId="77777777" w:rsidR="00A617EF" w:rsidRPr="00A80EE6" w:rsidRDefault="00A617EF" w:rsidP="00C737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Style w:val="22"/>
          <w:rFonts w:eastAsiaTheme="minorEastAsia"/>
          <w:i/>
          <w:color w:val="000000" w:themeColor="text1"/>
          <w:sz w:val="24"/>
          <w:szCs w:val="24"/>
          <w:u w:val="none"/>
          <w:lang w:val="ru-RU"/>
        </w:rPr>
        <w:t>Обзор профиля безопасности</w:t>
      </w:r>
    </w:p>
    <w:p w14:paraId="17C03586" w14:textId="77777777" w:rsidR="00A617EF" w:rsidRPr="00A80EE6" w:rsidRDefault="00A617EF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нежелательные реакции, наблюдавшиеся в ходе клинических испытаний и связанные с применением циклоспорина, включают нарушение функции почек, тремор, гирсутизм, артериальную гипертензию, диарею, анорексию, тошноту и рвоту.</w:t>
      </w:r>
    </w:p>
    <w:p w14:paraId="43D20CD4" w14:textId="77777777" w:rsidR="00A617EF" w:rsidRPr="00A80EE6" w:rsidRDefault="00A617EF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Многие побочные реакции, связанные с применением препарата, зависят от режима дозирования и носят обратимый характер при снижении дозы. Диапазон побочных реакций в целом одинаков при различных показаниях, хотя существуют различия в частоте и тяжести. У </w:t>
      </w:r>
      <w:r w:rsidR="004B1A1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пациентов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, перенесших трансплантацию, вследствие необходимости применения высшей начальной дозы и большей продолжительности поддерживающей терапии побочные эффекты встречаются чаще и обычно более выражены, чем у больных с другими показаниями к применению.</w:t>
      </w:r>
    </w:p>
    <w:p w14:paraId="6C42EEDD" w14:textId="77777777" w:rsidR="00A617EF" w:rsidRPr="00A80EE6" w:rsidRDefault="00A617EF" w:rsidP="00C737E9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Инфекционные и паразитарные заболевания</w:t>
      </w:r>
    </w:p>
    <w:p w14:paraId="5ED289EC" w14:textId="419DA342" w:rsidR="00A617EF" w:rsidRPr="00A80EE6" w:rsidRDefault="00A617EF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пациентов, которые получают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иммуносупрессивную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терапию, включая циклоспорин, или которым назначены схемы лечения, включающие циклоспорин, возрастает риск развития вирусных, бактериальных, грибковых и паразитарных инфекций</w:t>
      </w:r>
      <w:r w:rsidR="00285206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(см. раздел 4.4)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Возможно развитие генерализованных и локальных инфекций. </w:t>
      </w:r>
      <w:r w:rsidR="0063355C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Предшествующие инфекции также могут обостряться, а р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еактивация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полиомавирусных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инфекций может привести к развитию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полиомавирус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-ассоциированной нефропатии</w:t>
      </w:r>
      <w:r w:rsidR="004B1A1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(PVAN) или прогрессирующей мультифокальной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лейкопатии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, ассоциированной с JC-вирусом (PML). Сообщалось о серьезных и/или летальных случаях.</w:t>
      </w:r>
    </w:p>
    <w:p w14:paraId="4E020377" w14:textId="77777777" w:rsidR="00A617EF" w:rsidRPr="00A80EE6" w:rsidRDefault="00A617EF" w:rsidP="00C737E9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Новообразования доброкачественные, злокачественные и неуточненные (включая кисты и полипы)</w:t>
      </w:r>
    </w:p>
    <w:p w14:paraId="3E4BD92D" w14:textId="77777777" w:rsidR="00A617EF" w:rsidRPr="00A80EE6" w:rsidRDefault="00A617EF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пациентов, которые получают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иммуносупрессивные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препараты, в том числе циклоспорин, или которым назначены схемы лечения, включающие циклоспорин, возрастает риск развития лимфом или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лимфопролиферативных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расстройств и других злокачественных новообразований, особенно кожи. Частота развития злокачественных новообразований повышается с ростом интенсивности и длительности терапии (см. раздел 4.4). Некоторые злокачественные опухоли могут быть летальными.</w:t>
      </w:r>
    </w:p>
    <w:p w14:paraId="7ED7713B" w14:textId="77777777" w:rsidR="00A617EF" w:rsidRPr="00A80EE6" w:rsidRDefault="00A617EF" w:rsidP="00C737E9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Данные клинических исследований касательно нежелательных реакций, представленные в виде таблицы</w:t>
      </w:r>
    </w:p>
    <w:p w14:paraId="2A1FD521" w14:textId="77777777" w:rsidR="00A617EF" w:rsidRPr="00A80EE6" w:rsidRDefault="00A617EF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Данные клинических исследований касательно нежелательных реакций представлены в виде таблицы (таблица 2) и перечислены в соответствии с классами системы органов медицинского словаря регуляторной деятельности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MedDRA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Внутри каждого класса органов нежелательные реакции упорядочены по частоте в порядке убывания. В пределах каждой группы частоты возникновения нежелательные реакции представлены в порядке уменьшения тяжести. Кроме того, нежелательные реакции классифицированы по частоте с использованием следующих обозначений (CIOMS III): </w:t>
      </w: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очень часто</w:t>
      </w:r>
      <w:r w:rsidR="004B1A1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(≥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1/10); </w:t>
      </w: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часто</w:t>
      </w:r>
      <w:r w:rsidR="004B1A1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(от ≥1/100 до &lt;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1/10); </w:t>
      </w: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нечасто</w:t>
      </w:r>
      <w:r w:rsidR="004B1A1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(от ≥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1/1000 до</w:t>
      </w:r>
      <w:r w:rsidR="004B1A1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1/100); </w:t>
      </w: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редко</w:t>
      </w:r>
      <w:r w:rsidR="004B1A1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(от ≥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B1A1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/10 000 до &lt;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1/1000); </w:t>
      </w: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очень редко</w:t>
      </w:r>
      <w:r w:rsidR="004B1A1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(&lt;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1/10 000); </w:t>
      </w: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неизвестно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(невозможно оценить по имеющимся данным).</w:t>
      </w:r>
    </w:p>
    <w:p w14:paraId="22400DA9" w14:textId="77777777" w:rsidR="00A617EF" w:rsidRPr="00A80EE6" w:rsidRDefault="00A617EF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6948"/>
      </w:tblGrid>
      <w:tr w:rsidR="000E2B75" w:rsidRPr="00A80EE6" w14:paraId="2B2D6764" w14:textId="77777777" w:rsidTr="00AA3C48">
        <w:tc>
          <w:tcPr>
            <w:tcW w:w="0" w:type="auto"/>
            <w:gridSpan w:val="2"/>
          </w:tcPr>
          <w:p w14:paraId="0E58C87E" w14:textId="77777777" w:rsidR="00A617EF" w:rsidRPr="00A80EE6" w:rsidRDefault="00A617EF" w:rsidP="00C737E9">
            <w:pPr>
              <w:pStyle w:val="Text"/>
              <w:spacing w:before="0"/>
              <w:rPr>
                <w:b/>
                <w:color w:val="000000" w:themeColor="text1"/>
                <w:szCs w:val="24"/>
                <w:lang w:val="ru-RU"/>
              </w:rPr>
            </w:pPr>
            <w:r w:rsidRPr="00A80EE6">
              <w:rPr>
                <w:b/>
                <w:bCs/>
                <w:color w:val="000000" w:themeColor="text1"/>
                <w:szCs w:val="24"/>
                <w:lang w:val="ru-RU"/>
              </w:rPr>
              <w:lastRenderedPageBreak/>
              <w:t>Таблица 2. Данные клинических исследований касательно нежелательных реакций</w:t>
            </w:r>
          </w:p>
          <w:p w14:paraId="7F1030CF" w14:textId="77777777" w:rsidR="00A617EF" w:rsidRPr="00A80EE6" w:rsidRDefault="00A617EF" w:rsidP="00C737E9">
            <w:pPr>
              <w:pStyle w:val="Text"/>
              <w:spacing w:before="0"/>
              <w:rPr>
                <w:b/>
                <w:color w:val="000000" w:themeColor="text1"/>
                <w:szCs w:val="24"/>
                <w:lang w:val="ru-RU"/>
              </w:rPr>
            </w:pPr>
            <w:r w:rsidRPr="00A80EE6">
              <w:rPr>
                <w:b/>
                <w:bCs/>
                <w:color w:val="000000" w:themeColor="text1"/>
                <w:szCs w:val="24"/>
                <w:lang w:val="ru-RU"/>
              </w:rPr>
              <w:t>Нарушения со стороны системы кроветворения и лимфатической системы</w:t>
            </w:r>
          </w:p>
        </w:tc>
      </w:tr>
      <w:tr w:rsidR="000E2B75" w:rsidRPr="00A80EE6" w14:paraId="60EF68B1" w14:textId="77777777" w:rsidTr="008053E2">
        <w:tc>
          <w:tcPr>
            <w:tcW w:w="2129" w:type="dxa"/>
          </w:tcPr>
          <w:p w14:paraId="07E43A47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Часто</w:t>
            </w:r>
            <w:proofErr w:type="spellEnd"/>
          </w:p>
        </w:tc>
        <w:tc>
          <w:tcPr>
            <w:tcW w:w="7158" w:type="dxa"/>
          </w:tcPr>
          <w:p w14:paraId="599C6C31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Лейкопения</w:t>
            </w:r>
            <w:proofErr w:type="spellEnd"/>
          </w:p>
        </w:tc>
      </w:tr>
      <w:tr w:rsidR="000E2B75" w:rsidRPr="00A80EE6" w14:paraId="7D01D26B" w14:textId="77777777" w:rsidTr="008053E2">
        <w:tc>
          <w:tcPr>
            <w:tcW w:w="2129" w:type="dxa"/>
          </w:tcPr>
          <w:p w14:paraId="5B9046C9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Нечасто</w:t>
            </w:r>
            <w:proofErr w:type="spellEnd"/>
          </w:p>
        </w:tc>
        <w:tc>
          <w:tcPr>
            <w:tcW w:w="7158" w:type="dxa"/>
          </w:tcPr>
          <w:p w14:paraId="48F869DB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Тромбоцитопения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A80EE6">
              <w:rPr>
                <w:color w:val="000000" w:themeColor="text1"/>
                <w:szCs w:val="24"/>
              </w:rPr>
              <w:t>анемия</w:t>
            </w:r>
            <w:proofErr w:type="spellEnd"/>
          </w:p>
        </w:tc>
      </w:tr>
      <w:tr w:rsidR="000E2B75" w:rsidRPr="00A80EE6" w14:paraId="172752F1" w14:textId="77777777" w:rsidTr="008053E2">
        <w:tc>
          <w:tcPr>
            <w:tcW w:w="2129" w:type="dxa"/>
          </w:tcPr>
          <w:p w14:paraId="49F2473C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Редко</w:t>
            </w:r>
            <w:proofErr w:type="spellEnd"/>
          </w:p>
        </w:tc>
        <w:tc>
          <w:tcPr>
            <w:tcW w:w="7158" w:type="dxa"/>
          </w:tcPr>
          <w:p w14:paraId="6EA3A614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  <w:lang w:val="ru-RU"/>
              </w:rPr>
            </w:pPr>
            <w:proofErr w:type="spellStart"/>
            <w:r w:rsidRPr="00A80EE6">
              <w:rPr>
                <w:color w:val="000000" w:themeColor="text1"/>
                <w:szCs w:val="24"/>
                <w:lang w:val="ru-RU"/>
              </w:rPr>
              <w:t>Гемолитико</w:t>
            </w:r>
            <w:proofErr w:type="spellEnd"/>
            <w:r w:rsidRPr="00A80EE6">
              <w:rPr>
                <w:color w:val="000000" w:themeColor="text1"/>
                <w:szCs w:val="24"/>
                <w:lang w:val="ru-RU"/>
              </w:rPr>
              <w:t xml:space="preserve">-уремический синдром, </w:t>
            </w:r>
            <w:proofErr w:type="spellStart"/>
            <w:r w:rsidRPr="00A80EE6">
              <w:rPr>
                <w:color w:val="000000" w:themeColor="text1"/>
                <w:szCs w:val="24"/>
                <w:lang w:val="ru-RU"/>
              </w:rPr>
              <w:t>микроангиопатическая</w:t>
            </w:r>
            <w:proofErr w:type="spellEnd"/>
            <w:r w:rsidRPr="00A80EE6">
              <w:rPr>
                <w:color w:val="000000" w:themeColor="text1"/>
                <w:szCs w:val="24"/>
                <w:lang w:val="ru-RU"/>
              </w:rPr>
              <w:t xml:space="preserve"> гемолитическая анемия</w:t>
            </w:r>
          </w:p>
        </w:tc>
      </w:tr>
      <w:tr w:rsidR="000E2B75" w:rsidRPr="00A80EE6" w14:paraId="69225DBE" w14:textId="77777777" w:rsidTr="008053E2">
        <w:tc>
          <w:tcPr>
            <w:tcW w:w="2129" w:type="dxa"/>
          </w:tcPr>
          <w:p w14:paraId="5AA59CD3" w14:textId="77777777" w:rsidR="00A617EF" w:rsidRPr="00A80EE6" w:rsidRDefault="001001B0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Неизвестно</w:t>
            </w:r>
            <w:proofErr w:type="spellEnd"/>
            <w:r w:rsidR="00A617EF" w:rsidRPr="00A80EE6">
              <w:rPr>
                <w:color w:val="000000" w:themeColor="text1"/>
                <w:szCs w:val="24"/>
              </w:rPr>
              <w:t>*</w:t>
            </w:r>
          </w:p>
        </w:tc>
        <w:tc>
          <w:tcPr>
            <w:tcW w:w="7158" w:type="dxa"/>
          </w:tcPr>
          <w:p w14:paraId="1E7E2A1D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  <w:lang w:val="ru-RU"/>
              </w:rPr>
            </w:pPr>
            <w:r w:rsidRPr="00A80EE6">
              <w:rPr>
                <w:color w:val="000000" w:themeColor="text1"/>
                <w:szCs w:val="24"/>
                <w:lang w:val="ru-RU"/>
              </w:rPr>
              <w:t>Тромботическая микроангиопатия, тромботическая тромбоцитопеническая пурпура</w:t>
            </w:r>
          </w:p>
        </w:tc>
      </w:tr>
      <w:tr w:rsidR="000E2B75" w:rsidRPr="00A80EE6" w14:paraId="6E5BE144" w14:textId="77777777" w:rsidTr="00AA3C48">
        <w:tc>
          <w:tcPr>
            <w:tcW w:w="0" w:type="auto"/>
            <w:gridSpan w:val="2"/>
          </w:tcPr>
          <w:p w14:paraId="66733F9A" w14:textId="77777777" w:rsidR="00A617EF" w:rsidRPr="00A80EE6" w:rsidRDefault="00A617EF" w:rsidP="00C737E9">
            <w:pPr>
              <w:pStyle w:val="Text"/>
              <w:spacing w:before="0"/>
              <w:rPr>
                <w:b/>
                <w:color w:val="000000" w:themeColor="text1"/>
                <w:szCs w:val="24"/>
                <w:lang w:val="ru-RU"/>
              </w:rPr>
            </w:pPr>
            <w:r w:rsidRPr="00A80EE6">
              <w:rPr>
                <w:b/>
                <w:bCs/>
                <w:color w:val="000000" w:themeColor="text1"/>
                <w:szCs w:val="24"/>
                <w:lang w:val="ru-RU"/>
              </w:rPr>
              <w:t>Нарушения со стороны обмена веществ и питания</w:t>
            </w:r>
          </w:p>
        </w:tc>
      </w:tr>
      <w:tr w:rsidR="000E2B75" w:rsidRPr="00A80EE6" w14:paraId="105B03E1" w14:textId="77777777" w:rsidTr="008053E2">
        <w:tc>
          <w:tcPr>
            <w:tcW w:w="2129" w:type="dxa"/>
          </w:tcPr>
          <w:p w14:paraId="55DDE43D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Очень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color w:val="000000" w:themeColor="text1"/>
                <w:szCs w:val="24"/>
              </w:rPr>
              <w:t>часто</w:t>
            </w:r>
            <w:proofErr w:type="spellEnd"/>
          </w:p>
        </w:tc>
        <w:tc>
          <w:tcPr>
            <w:tcW w:w="7158" w:type="dxa"/>
          </w:tcPr>
          <w:p w14:paraId="3C89DFC9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Гиперлипидемия</w:t>
            </w:r>
            <w:proofErr w:type="spellEnd"/>
          </w:p>
        </w:tc>
      </w:tr>
      <w:tr w:rsidR="000E2B75" w:rsidRPr="00A80EE6" w14:paraId="03F18C99" w14:textId="77777777" w:rsidTr="008053E2">
        <w:tc>
          <w:tcPr>
            <w:tcW w:w="2129" w:type="dxa"/>
          </w:tcPr>
          <w:p w14:paraId="0EB08AC2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Часто</w:t>
            </w:r>
            <w:proofErr w:type="spellEnd"/>
          </w:p>
        </w:tc>
        <w:tc>
          <w:tcPr>
            <w:tcW w:w="7158" w:type="dxa"/>
          </w:tcPr>
          <w:p w14:paraId="25C7FAE9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  <w:lang w:val="ru-RU"/>
              </w:rPr>
            </w:pPr>
            <w:r w:rsidRPr="00A80EE6">
              <w:rPr>
                <w:color w:val="000000" w:themeColor="text1"/>
                <w:szCs w:val="24"/>
                <w:lang w:val="ru-RU"/>
              </w:rPr>
              <w:t xml:space="preserve">Гипергликемия, анорексия, </w:t>
            </w:r>
            <w:proofErr w:type="spellStart"/>
            <w:r w:rsidRPr="00A80EE6">
              <w:rPr>
                <w:color w:val="000000" w:themeColor="text1"/>
                <w:szCs w:val="24"/>
                <w:lang w:val="ru-RU"/>
              </w:rPr>
              <w:t>гиперурикемия</w:t>
            </w:r>
            <w:proofErr w:type="spellEnd"/>
            <w:r w:rsidRPr="00A80EE6">
              <w:rPr>
                <w:color w:val="000000" w:themeColor="text1"/>
                <w:szCs w:val="24"/>
                <w:lang w:val="ru-RU"/>
              </w:rPr>
              <w:t xml:space="preserve">, </w:t>
            </w:r>
            <w:proofErr w:type="spellStart"/>
            <w:r w:rsidRPr="00A80EE6">
              <w:rPr>
                <w:color w:val="000000" w:themeColor="text1"/>
                <w:szCs w:val="24"/>
                <w:lang w:val="ru-RU"/>
              </w:rPr>
              <w:t>гиперкалиемия</w:t>
            </w:r>
            <w:proofErr w:type="spellEnd"/>
            <w:r w:rsidRPr="00A80EE6">
              <w:rPr>
                <w:color w:val="000000" w:themeColor="text1"/>
                <w:szCs w:val="24"/>
                <w:lang w:val="ru-RU"/>
              </w:rPr>
              <w:t xml:space="preserve">, </w:t>
            </w:r>
            <w:proofErr w:type="spellStart"/>
            <w:r w:rsidRPr="00A80EE6">
              <w:rPr>
                <w:color w:val="000000" w:themeColor="text1"/>
                <w:szCs w:val="24"/>
                <w:lang w:val="ru-RU"/>
              </w:rPr>
              <w:t>гипомагниемия</w:t>
            </w:r>
            <w:proofErr w:type="spellEnd"/>
            <w:r w:rsidRPr="00A80EE6">
              <w:rPr>
                <w:color w:val="000000" w:themeColor="text1"/>
                <w:szCs w:val="24"/>
                <w:lang w:val="ru-RU"/>
              </w:rPr>
              <w:t xml:space="preserve"> </w:t>
            </w:r>
          </w:p>
        </w:tc>
      </w:tr>
      <w:tr w:rsidR="000E2B75" w:rsidRPr="00A80EE6" w14:paraId="20D2A6AB" w14:textId="77777777" w:rsidTr="00AA3C48">
        <w:tc>
          <w:tcPr>
            <w:tcW w:w="0" w:type="auto"/>
            <w:gridSpan w:val="2"/>
          </w:tcPr>
          <w:p w14:paraId="64AB75CA" w14:textId="77777777" w:rsidR="00A617EF" w:rsidRPr="00A80EE6" w:rsidRDefault="00A617EF" w:rsidP="00C737E9">
            <w:pPr>
              <w:pStyle w:val="Text"/>
              <w:spacing w:before="0"/>
              <w:rPr>
                <w:b/>
                <w:color w:val="000000" w:themeColor="text1"/>
                <w:szCs w:val="24"/>
                <w:lang w:val="ru-RU"/>
              </w:rPr>
            </w:pPr>
            <w:r w:rsidRPr="00A80EE6">
              <w:rPr>
                <w:b/>
                <w:bCs/>
                <w:color w:val="000000" w:themeColor="text1"/>
                <w:szCs w:val="24"/>
                <w:lang w:val="ru-RU"/>
              </w:rPr>
              <w:t>Нарушения со стороны нервной системы</w:t>
            </w:r>
          </w:p>
        </w:tc>
      </w:tr>
      <w:tr w:rsidR="000E2B75" w:rsidRPr="00A80EE6" w14:paraId="5E14D626" w14:textId="77777777" w:rsidTr="008053E2">
        <w:tc>
          <w:tcPr>
            <w:tcW w:w="2129" w:type="dxa"/>
          </w:tcPr>
          <w:p w14:paraId="4C50B142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Очень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color w:val="000000" w:themeColor="text1"/>
                <w:szCs w:val="24"/>
              </w:rPr>
              <w:t>часто</w:t>
            </w:r>
            <w:proofErr w:type="spellEnd"/>
          </w:p>
        </w:tc>
        <w:tc>
          <w:tcPr>
            <w:tcW w:w="7158" w:type="dxa"/>
          </w:tcPr>
          <w:p w14:paraId="4EAD0139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r w:rsidRPr="00A80EE6">
              <w:rPr>
                <w:color w:val="000000" w:themeColor="text1"/>
                <w:szCs w:val="24"/>
              </w:rPr>
              <w:t xml:space="preserve">Тремор, </w:t>
            </w:r>
            <w:proofErr w:type="spellStart"/>
            <w:r w:rsidRPr="00A80EE6">
              <w:rPr>
                <w:color w:val="000000" w:themeColor="text1"/>
                <w:szCs w:val="24"/>
              </w:rPr>
              <w:t>головная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color w:val="000000" w:themeColor="text1"/>
                <w:szCs w:val="24"/>
              </w:rPr>
              <w:t>боль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0E2B75" w:rsidRPr="00A80EE6" w14:paraId="05288B19" w14:textId="77777777" w:rsidTr="008053E2">
        <w:tc>
          <w:tcPr>
            <w:tcW w:w="2129" w:type="dxa"/>
          </w:tcPr>
          <w:p w14:paraId="606865F7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Часто</w:t>
            </w:r>
            <w:proofErr w:type="spellEnd"/>
          </w:p>
        </w:tc>
        <w:tc>
          <w:tcPr>
            <w:tcW w:w="7158" w:type="dxa"/>
          </w:tcPr>
          <w:p w14:paraId="201C9FBB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Судороги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A80EE6">
              <w:rPr>
                <w:color w:val="000000" w:themeColor="text1"/>
                <w:szCs w:val="24"/>
              </w:rPr>
              <w:t>парестезия</w:t>
            </w:r>
            <w:proofErr w:type="spellEnd"/>
          </w:p>
        </w:tc>
      </w:tr>
      <w:tr w:rsidR="000E2B75" w:rsidRPr="00A80EE6" w14:paraId="0E221979" w14:textId="77777777" w:rsidTr="008053E2">
        <w:tc>
          <w:tcPr>
            <w:tcW w:w="2129" w:type="dxa"/>
          </w:tcPr>
          <w:p w14:paraId="7F6D0077" w14:textId="77777777" w:rsidR="00A617EF" w:rsidRPr="00A80EE6" w:rsidRDefault="00A617EF" w:rsidP="00C737E9">
            <w:pPr>
              <w:pStyle w:val="Text"/>
              <w:keepNext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Нечасто</w:t>
            </w:r>
            <w:proofErr w:type="spellEnd"/>
          </w:p>
        </w:tc>
        <w:tc>
          <w:tcPr>
            <w:tcW w:w="7158" w:type="dxa"/>
          </w:tcPr>
          <w:p w14:paraId="13B7D2E3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  <w:lang w:val="ru-RU"/>
              </w:rPr>
            </w:pPr>
            <w:r w:rsidRPr="00A80EE6">
              <w:rPr>
                <w:color w:val="000000" w:themeColor="text1"/>
                <w:szCs w:val="24"/>
                <w:lang w:val="ru-RU"/>
              </w:rPr>
              <w:t xml:space="preserve">Энцефалопатия, включая задний реверсивный </w:t>
            </w:r>
            <w:proofErr w:type="spellStart"/>
            <w:r w:rsidRPr="00A80EE6">
              <w:rPr>
                <w:color w:val="000000" w:themeColor="text1"/>
                <w:szCs w:val="24"/>
                <w:lang w:val="ru-RU"/>
              </w:rPr>
              <w:t>энцефалопатический</w:t>
            </w:r>
            <w:proofErr w:type="spellEnd"/>
            <w:r w:rsidRPr="00A80EE6">
              <w:rPr>
                <w:color w:val="000000" w:themeColor="text1"/>
                <w:szCs w:val="24"/>
                <w:lang w:val="ru-RU"/>
              </w:rPr>
              <w:t xml:space="preserve"> синдром</w:t>
            </w:r>
            <w:r w:rsidRPr="00A80EE6">
              <w:rPr>
                <w:color w:val="000000" w:themeColor="text1"/>
                <w:szCs w:val="24"/>
              </w:rPr>
              <w:t> </w:t>
            </w:r>
            <w:r w:rsidRPr="00A80EE6">
              <w:rPr>
                <w:color w:val="000000" w:themeColor="text1"/>
                <w:szCs w:val="24"/>
                <w:lang w:val="ru-RU"/>
              </w:rPr>
              <w:t>(</w:t>
            </w:r>
            <w:r w:rsidRPr="00A80EE6">
              <w:rPr>
                <w:color w:val="000000" w:themeColor="text1"/>
                <w:szCs w:val="24"/>
              </w:rPr>
              <w:t>PRES</w:t>
            </w:r>
            <w:r w:rsidRPr="00A80EE6">
              <w:rPr>
                <w:color w:val="000000" w:themeColor="text1"/>
                <w:szCs w:val="24"/>
                <w:lang w:val="ru-RU"/>
              </w:rPr>
              <w:t>), а также такие признаки и симптомы, как судороги, спутанность сознания, дезориентация, снижение восприимчивости, возбуждение, бессонница, нарушение зрения, корковая слепота, кома, парезы и мозжечковая атаксия</w:t>
            </w:r>
          </w:p>
        </w:tc>
      </w:tr>
      <w:tr w:rsidR="000E2B75" w:rsidRPr="00A80EE6" w14:paraId="1F98ECFA" w14:textId="77777777" w:rsidTr="008053E2">
        <w:tc>
          <w:tcPr>
            <w:tcW w:w="2129" w:type="dxa"/>
          </w:tcPr>
          <w:p w14:paraId="4D37E39D" w14:textId="77777777" w:rsidR="00A617EF" w:rsidRPr="00A80EE6" w:rsidRDefault="00A617EF" w:rsidP="00C737E9">
            <w:pPr>
              <w:pStyle w:val="Text"/>
              <w:keepNext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Редко</w:t>
            </w:r>
            <w:proofErr w:type="spellEnd"/>
          </w:p>
        </w:tc>
        <w:tc>
          <w:tcPr>
            <w:tcW w:w="7158" w:type="dxa"/>
          </w:tcPr>
          <w:p w14:paraId="7423E1C3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Моторная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color w:val="000000" w:themeColor="text1"/>
                <w:szCs w:val="24"/>
              </w:rPr>
              <w:t>полинейропатия</w:t>
            </w:r>
            <w:proofErr w:type="spellEnd"/>
          </w:p>
        </w:tc>
      </w:tr>
      <w:tr w:rsidR="000E2B75" w:rsidRPr="00A80EE6" w14:paraId="10EE8D11" w14:textId="77777777" w:rsidTr="008053E2">
        <w:tc>
          <w:tcPr>
            <w:tcW w:w="2129" w:type="dxa"/>
          </w:tcPr>
          <w:p w14:paraId="48C80577" w14:textId="77777777" w:rsidR="00A617EF" w:rsidRPr="00A80EE6" w:rsidRDefault="00A617EF" w:rsidP="00C737E9">
            <w:pPr>
              <w:pStyle w:val="Text"/>
              <w:keepNext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Очень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color w:val="000000" w:themeColor="text1"/>
                <w:szCs w:val="24"/>
              </w:rPr>
              <w:t>редко</w:t>
            </w:r>
            <w:proofErr w:type="spellEnd"/>
          </w:p>
        </w:tc>
        <w:tc>
          <w:tcPr>
            <w:tcW w:w="7158" w:type="dxa"/>
          </w:tcPr>
          <w:p w14:paraId="3C868D7B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  <w:lang w:val="ru-RU"/>
              </w:rPr>
            </w:pPr>
            <w:r w:rsidRPr="00A80EE6">
              <w:rPr>
                <w:color w:val="000000" w:themeColor="text1"/>
                <w:szCs w:val="24"/>
                <w:lang w:val="ru-RU"/>
              </w:rPr>
              <w:t>Отек диска зрительного нерва, включая отек сосочка зрительного нерва, с возможным нарушением зрения, вторичным по отношению к доброкачественной внутричерепной гипертензии</w:t>
            </w:r>
          </w:p>
        </w:tc>
      </w:tr>
      <w:tr w:rsidR="000E2B75" w:rsidRPr="00A80EE6" w14:paraId="0560B272" w14:textId="77777777" w:rsidTr="008053E2">
        <w:tc>
          <w:tcPr>
            <w:tcW w:w="2129" w:type="dxa"/>
          </w:tcPr>
          <w:p w14:paraId="2AA66F70" w14:textId="77777777" w:rsidR="00A617EF" w:rsidRPr="00A80EE6" w:rsidRDefault="001001B0" w:rsidP="00C737E9">
            <w:pPr>
              <w:pStyle w:val="Text"/>
              <w:keepNext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Неизвестно</w:t>
            </w:r>
            <w:proofErr w:type="spellEnd"/>
            <w:r w:rsidR="00A617EF" w:rsidRPr="00A80EE6">
              <w:rPr>
                <w:color w:val="000000" w:themeColor="text1"/>
                <w:szCs w:val="24"/>
              </w:rPr>
              <w:t>*</w:t>
            </w:r>
          </w:p>
        </w:tc>
        <w:tc>
          <w:tcPr>
            <w:tcW w:w="7158" w:type="dxa"/>
          </w:tcPr>
          <w:p w14:paraId="4E0DE03F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Мигрень</w:t>
            </w:r>
            <w:proofErr w:type="spellEnd"/>
          </w:p>
        </w:tc>
      </w:tr>
      <w:tr w:rsidR="000E2B75" w:rsidRPr="00A80EE6" w14:paraId="4DE085A7" w14:textId="77777777" w:rsidTr="00E45E9E">
        <w:tc>
          <w:tcPr>
            <w:tcW w:w="9287" w:type="dxa"/>
            <w:gridSpan w:val="2"/>
          </w:tcPr>
          <w:p w14:paraId="69AA85EB" w14:textId="77777777" w:rsidR="00AA3C48" w:rsidRPr="00A80EE6" w:rsidRDefault="00AA3C48" w:rsidP="00C737E9">
            <w:pPr>
              <w:pStyle w:val="Text"/>
              <w:spacing w:before="0"/>
              <w:rPr>
                <w:b/>
                <w:bCs/>
                <w:color w:val="000000" w:themeColor="text1"/>
                <w:szCs w:val="24"/>
                <w:lang w:val="ru-RU"/>
              </w:rPr>
            </w:pPr>
            <w:r w:rsidRPr="00A80EE6">
              <w:rPr>
                <w:b/>
                <w:bCs/>
                <w:color w:val="000000" w:themeColor="text1"/>
                <w:szCs w:val="24"/>
                <w:lang w:val="ru-RU"/>
              </w:rPr>
              <w:t>Нарушение слуха и слухового лабиринта</w:t>
            </w:r>
          </w:p>
        </w:tc>
      </w:tr>
      <w:tr w:rsidR="000E2B75" w:rsidRPr="00A80EE6" w14:paraId="3ACB8690" w14:textId="77777777" w:rsidTr="008053E2">
        <w:tc>
          <w:tcPr>
            <w:tcW w:w="2129" w:type="dxa"/>
          </w:tcPr>
          <w:p w14:paraId="3974261E" w14:textId="77777777" w:rsidR="00AA3C48" w:rsidRPr="00A80EE6" w:rsidRDefault="00AA3C48" w:rsidP="00C737E9">
            <w:pPr>
              <w:pStyle w:val="Text"/>
              <w:keepNext/>
              <w:spacing w:before="0"/>
              <w:rPr>
                <w:color w:val="000000" w:themeColor="text1"/>
                <w:szCs w:val="24"/>
                <w:lang w:val="ru-RU"/>
              </w:rPr>
            </w:pPr>
            <w:r w:rsidRPr="00A80EE6">
              <w:rPr>
                <w:color w:val="000000" w:themeColor="text1"/>
                <w:szCs w:val="24"/>
                <w:lang w:val="ru-RU"/>
              </w:rPr>
              <w:t>Неизвестно*</w:t>
            </w:r>
          </w:p>
        </w:tc>
        <w:tc>
          <w:tcPr>
            <w:tcW w:w="7158" w:type="dxa"/>
          </w:tcPr>
          <w:p w14:paraId="37E72D8F" w14:textId="77777777" w:rsidR="00AA3C48" w:rsidRPr="00A80EE6" w:rsidRDefault="00AA3C48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r w:rsidRPr="00A80EE6">
              <w:rPr>
                <w:color w:val="000000" w:themeColor="text1"/>
                <w:szCs w:val="24"/>
                <w:lang w:val="ru-RU"/>
              </w:rPr>
              <w:t>Нарушение слуха</w:t>
            </w:r>
            <w:r w:rsidRPr="00A80EE6">
              <w:rPr>
                <w:color w:val="000000" w:themeColor="text1"/>
                <w:szCs w:val="24"/>
                <w:vertAlign w:val="superscript"/>
              </w:rPr>
              <w:t>#</w:t>
            </w:r>
          </w:p>
        </w:tc>
      </w:tr>
      <w:tr w:rsidR="000E2B75" w:rsidRPr="00A80EE6" w14:paraId="79DC27BD" w14:textId="77777777" w:rsidTr="00AA3C48">
        <w:tc>
          <w:tcPr>
            <w:tcW w:w="0" w:type="auto"/>
            <w:gridSpan w:val="2"/>
          </w:tcPr>
          <w:p w14:paraId="2CF62452" w14:textId="77777777" w:rsidR="00A617EF" w:rsidRPr="00A80EE6" w:rsidRDefault="00A617EF" w:rsidP="00C737E9">
            <w:pPr>
              <w:pStyle w:val="Text"/>
              <w:spacing w:before="0"/>
              <w:rPr>
                <w:b/>
                <w:color w:val="000000" w:themeColor="text1"/>
                <w:szCs w:val="24"/>
              </w:rPr>
            </w:pPr>
            <w:proofErr w:type="spellStart"/>
            <w:r w:rsidRPr="00A80EE6">
              <w:rPr>
                <w:b/>
                <w:bCs/>
                <w:color w:val="000000" w:themeColor="text1"/>
                <w:szCs w:val="24"/>
              </w:rPr>
              <w:t>Нарушения</w:t>
            </w:r>
            <w:proofErr w:type="spellEnd"/>
            <w:r w:rsidRPr="00A80EE6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b/>
                <w:bCs/>
                <w:color w:val="000000" w:themeColor="text1"/>
                <w:szCs w:val="24"/>
              </w:rPr>
              <w:t>со</w:t>
            </w:r>
            <w:proofErr w:type="spellEnd"/>
            <w:r w:rsidRPr="00A80EE6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b/>
                <w:bCs/>
                <w:color w:val="000000" w:themeColor="text1"/>
                <w:szCs w:val="24"/>
              </w:rPr>
              <w:t>стороны</w:t>
            </w:r>
            <w:proofErr w:type="spellEnd"/>
            <w:r w:rsidRPr="00A80EE6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b/>
                <w:bCs/>
                <w:color w:val="000000" w:themeColor="text1"/>
                <w:szCs w:val="24"/>
              </w:rPr>
              <w:t>сосудов</w:t>
            </w:r>
            <w:proofErr w:type="spellEnd"/>
          </w:p>
        </w:tc>
      </w:tr>
      <w:tr w:rsidR="000E2B75" w:rsidRPr="00A80EE6" w14:paraId="6D766E7F" w14:textId="77777777" w:rsidTr="008053E2">
        <w:tc>
          <w:tcPr>
            <w:tcW w:w="2129" w:type="dxa"/>
          </w:tcPr>
          <w:p w14:paraId="0DED8895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Очень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color w:val="000000" w:themeColor="text1"/>
                <w:szCs w:val="24"/>
              </w:rPr>
              <w:t>часто</w:t>
            </w:r>
            <w:proofErr w:type="spellEnd"/>
          </w:p>
        </w:tc>
        <w:tc>
          <w:tcPr>
            <w:tcW w:w="7158" w:type="dxa"/>
          </w:tcPr>
          <w:p w14:paraId="6C9D669C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Артериальная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color w:val="000000" w:themeColor="text1"/>
                <w:szCs w:val="24"/>
              </w:rPr>
              <w:t>гипертензия</w:t>
            </w:r>
            <w:proofErr w:type="spellEnd"/>
          </w:p>
        </w:tc>
      </w:tr>
      <w:tr w:rsidR="000E2B75" w:rsidRPr="00A80EE6" w14:paraId="2ECE88B1" w14:textId="77777777" w:rsidTr="008053E2">
        <w:tc>
          <w:tcPr>
            <w:tcW w:w="2129" w:type="dxa"/>
          </w:tcPr>
          <w:p w14:paraId="7379F9D7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Часто</w:t>
            </w:r>
            <w:proofErr w:type="spellEnd"/>
          </w:p>
        </w:tc>
        <w:tc>
          <w:tcPr>
            <w:tcW w:w="7158" w:type="dxa"/>
          </w:tcPr>
          <w:p w14:paraId="2972A91D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Приливы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0E2B75" w:rsidRPr="00A80EE6" w14:paraId="7E8234AD" w14:textId="77777777" w:rsidTr="00AA3C48">
        <w:tc>
          <w:tcPr>
            <w:tcW w:w="0" w:type="auto"/>
            <w:gridSpan w:val="2"/>
          </w:tcPr>
          <w:p w14:paraId="445EA8E5" w14:textId="77777777" w:rsidR="00A617EF" w:rsidRPr="00A80EE6" w:rsidRDefault="00A617EF" w:rsidP="00C737E9">
            <w:pPr>
              <w:pStyle w:val="Text"/>
              <w:spacing w:before="0"/>
              <w:rPr>
                <w:b/>
                <w:color w:val="000000" w:themeColor="text1"/>
                <w:szCs w:val="24"/>
                <w:lang w:val="ru-RU"/>
              </w:rPr>
            </w:pPr>
            <w:r w:rsidRPr="00A80EE6">
              <w:rPr>
                <w:b/>
                <w:bCs/>
                <w:color w:val="000000" w:themeColor="text1"/>
                <w:szCs w:val="24"/>
                <w:lang w:val="ru-RU"/>
              </w:rPr>
              <w:t>Нарушения со стороны желудочно-кишечного тракта</w:t>
            </w:r>
          </w:p>
        </w:tc>
      </w:tr>
      <w:tr w:rsidR="000E2B75" w:rsidRPr="00A80EE6" w14:paraId="3EBD5F38" w14:textId="77777777" w:rsidTr="008053E2">
        <w:tc>
          <w:tcPr>
            <w:tcW w:w="2129" w:type="dxa"/>
          </w:tcPr>
          <w:p w14:paraId="642BC8BB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Часто</w:t>
            </w:r>
            <w:proofErr w:type="spellEnd"/>
          </w:p>
        </w:tc>
        <w:tc>
          <w:tcPr>
            <w:tcW w:w="7158" w:type="dxa"/>
          </w:tcPr>
          <w:p w14:paraId="7EC09FBF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  <w:lang w:val="ru-RU"/>
              </w:rPr>
            </w:pPr>
            <w:r w:rsidRPr="00A80EE6">
              <w:rPr>
                <w:color w:val="000000" w:themeColor="text1"/>
                <w:szCs w:val="24"/>
                <w:lang w:val="ru-RU"/>
              </w:rPr>
              <w:t>Тошнота, рвота, дискомфорт/боль в области живота, диарея, гиперплазия десен, пептическая язва</w:t>
            </w:r>
          </w:p>
        </w:tc>
      </w:tr>
      <w:tr w:rsidR="000E2B75" w:rsidRPr="00A80EE6" w14:paraId="237DDB36" w14:textId="77777777" w:rsidTr="008053E2">
        <w:tc>
          <w:tcPr>
            <w:tcW w:w="2129" w:type="dxa"/>
          </w:tcPr>
          <w:p w14:paraId="01FAB280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Редко</w:t>
            </w:r>
            <w:proofErr w:type="spellEnd"/>
          </w:p>
        </w:tc>
        <w:tc>
          <w:tcPr>
            <w:tcW w:w="7158" w:type="dxa"/>
          </w:tcPr>
          <w:p w14:paraId="099E9319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Панкреатит</w:t>
            </w:r>
            <w:proofErr w:type="spellEnd"/>
          </w:p>
        </w:tc>
      </w:tr>
      <w:tr w:rsidR="000E2B75" w:rsidRPr="00A80EE6" w14:paraId="37732712" w14:textId="77777777" w:rsidTr="00AA3C48">
        <w:tc>
          <w:tcPr>
            <w:tcW w:w="0" w:type="auto"/>
            <w:gridSpan w:val="2"/>
          </w:tcPr>
          <w:p w14:paraId="2E4F68C5" w14:textId="77777777" w:rsidR="00A617EF" w:rsidRPr="00A80EE6" w:rsidRDefault="00A617EF" w:rsidP="00C737E9">
            <w:pPr>
              <w:pStyle w:val="Text"/>
              <w:spacing w:before="0"/>
              <w:rPr>
                <w:b/>
                <w:color w:val="000000" w:themeColor="text1"/>
                <w:szCs w:val="24"/>
              </w:rPr>
            </w:pPr>
            <w:proofErr w:type="spellStart"/>
            <w:r w:rsidRPr="00A80EE6">
              <w:rPr>
                <w:b/>
                <w:bCs/>
                <w:color w:val="000000" w:themeColor="text1"/>
                <w:szCs w:val="24"/>
              </w:rPr>
              <w:t>Со</w:t>
            </w:r>
            <w:proofErr w:type="spellEnd"/>
            <w:r w:rsidRPr="00A80EE6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b/>
                <w:bCs/>
                <w:color w:val="000000" w:themeColor="text1"/>
                <w:szCs w:val="24"/>
              </w:rPr>
              <w:t>стороны</w:t>
            </w:r>
            <w:proofErr w:type="spellEnd"/>
            <w:r w:rsidRPr="00A80EE6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b/>
                <w:bCs/>
                <w:color w:val="000000" w:themeColor="text1"/>
                <w:szCs w:val="24"/>
              </w:rPr>
              <w:t>печени</w:t>
            </w:r>
            <w:proofErr w:type="spellEnd"/>
          </w:p>
        </w:tc>
      </w:tr>
      <w:tr w:rsidR="000E2B75" w:rsidRPr="00A80EE6" w14:paraId="6E1567C8" w14:textId="77777777" w:rsidTr="008053E2">
        <w:tc>
          <w:tcPr>
            <w:tcW w:w="2129" w:type="dxa"/>
          </w:tcPr>
          <w:p w14:paraId="57AEA309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Часто</w:t>
            </w:r>
            <w:proofErr w:type="spellEnd"/>
          </w:p>
        </w:tc>
        <w:tc>
          <w:tcPr>
            <w:tcW w:w="7158" w:type="dxa"/>
          </w:tcPr>
          <w:p w14:paraId="61B168FC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  <w:lang w:val="ru-RU"/>
              </w:rPr>
            </w:pPr>
            <w:r w:rsidRPr="00A80EE6">
              <w:rPr>
                <w:color w:val="000000" w:themeColor="text1"/>
                <w:szCs w:val="24"/>
                <w:lang w:val="ru-RU"/>
              </w:rPr>
              <w:t>Нарушение функции печени</w:t>
            </w:r>
            <w:r w:rsidR="008053E2" w:rsidRPr="00A80EE6">
              <w:rPr>
                <w:color w:val="000000" w:themeColor="text1"/>
                <w:szCs w:val="24"/>
                <w:lang w:val="ru-RU"/>
              </w:rPr>
              <w:t xml:space="preserve"> (см. раздел 4.4)</w:t>
            </w:r>
          </w:p>
        </w:tc>
      </w:tr>
      <w:tr w:rsidR="000E2B75" w:rsidRPr="00A80EE6" w14:paraId="51F654C3" w14:textId="77777777" w:rsidTr="008053E2">
        <w:tc>
          <w:tcPr>
            <w:tcW w:w="2129" w:type="dxa"/>
          </w:tcPr>
          <w:p w14:paraId="463B5480" w14:textId="77777777" w:rsidR="00A617EF" w:rsidRPr="00A80EE6" w:rsidRDefault="001001B0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Неизвестно</w:t>
            </w:r>
            <w:proofErr w:type="spellEnd"/>
            <w:r w:rsidR="00A617EF" w:rsidRPr="00A80EE6">
              <w:rPr>
                <w:color w:val="000000" w:themeColor="text1"/>
                <w:szCs w:val="24"/>
              </w:rPr>
              <w:t>*</w:t>
            </w:r>
          </w:p>
        </w:tc>
        <w:tc>
          <w:tcPr>
            <w:tcW w:w="7158" w:type="dxa"/>
          </w:tcPr>
          <w:p w14:paraId="6D257B41" w14:textId="3FF2348B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  <w:lang w:val="ru-RU"/>
              </w:rPr>
            </w:pPr>
            <w:proofErr w:type="spellStart"/>
            <w:r w:rsidRPr="00A80EE6">
              <w:rPr>
                <w:color w:val="000000" w:themeColor="text1"/>
                <w:szCs w:val="24"/>
                <w:lang w:val="ru-RU"/>
              </w:rPr>
              <w:t>Гепатотоксичность</w:t>
            </w:r>
            <w:proofErr w:type="spellEnd"/>
            <w:r w:rsidRPr="00A80EE6">
              <w:rPr>
                <w:color w:val="000000" w:themeColor="text1"/>
                <w:szCs w:val="24"/>
                <w:lang w:val="ru-RU"/>
              </w:rPr>
              <w:t xml:space="preserve"> и нарушение функции печени, включая холестаз, желтуху, гепатит и печеночную недостаточность </w:t>
            </w:r>
            <w:r w:rsidR="00D67CE1" w:rsidRPr="00A80EE6">
              <w:rPr>
                <w:color w:val="000000" w:themeColor="text1"/>
                <w:szCs w:val="24"/>
                <w:lang w:val="ru-RU"/>
              </w:rPr>
              <w:t xml:space="preserve">с </w:t>
            </w:r>
            <w:bookmarkStart w:id="28" w:name="_Hlk195786656"/>
            <w:r w:rsidR="00D67CE1" w:rsidRPr="00A80EE6">
              <w:rPr>
                <w:color w:val="000000" w:themeColor="text1"/>
                <w:szCs w:val="24"/>
                <w:lang w:val="ru-RU"/>
              </w:rPr>
              <w:t>некоторыми</w:t>
            </w:r>
            <w:r w:rsidRPr="00A80EE6">
              <w:rPr>
                <w:color w:val="000000" w:themeColor="text1"/>
                <w:szCs w:val="24"/>
                <w:lang w:val="ru-RU"/>
              </w:rPr>
              <w:t xml:space="preserve"> </w:t>
            </w:r>
            <w:bookmarkEnd w:id="28"/>
            <w:r w:rsidRPr="00A80EE6">
              <w:rPr>
                <w:color w:val="000000" w:themeColor="text1"/>
                <w:szCs w:val="24"/>
                <w:lang w:val="ru-RU"/>
              </w:rPr>
              <w:t>летальным</w:t>
            </w:r>
            <w:r w:rsidR="00F66D22" w:rsidRPr="00A80EE6">
              <w:rPr>
                <w:color w:val="000000" w:themeColor="text1"/>
                <w:szCs w:val="24"/>
                <w:lang w:val="ru-RU"/>
              </w:rPr>
              <w:t>и</w:t>
            </w:r>
            <w:r w:rsidRPr="00A80EE6">
              <w:rPr>
                <w:color w:val="000000" w:themeColor="text1"/>
                <w:szCs w:val="24"/>
                <w:lang w:val="ru-RU"/>
              </w:rPr>
              <w:t xml:space="preserve"> исход</w:t>
            </w:r>
            <w:r w:rsidR="00F66D22" w:rsidRPr="00A80EE6">
              <w:rPr>
                <w:color w:val="000000" w:themeColor="text1"/>
                <w:szCs w:val="24"/>
                <w:lang w:val="ru-RU"/>
              </w:rPr>
              <w:t>ами</w:t>
            </w:r>
            <w:r w:rsidRPr="00A80EE6">
              <w:rPr>
                <w:color w:val="000000" w:themeColor="text1"/>
                <w:szCs w:val="24"/>
                <w:lang w:val="ru-RU"/>
              </w:rPr>
              <w:t xml:space="preserve"> </w:t>
            </w:r>
            <w:r w:rsidR="008053E2" w:rsidRPr="00A80EE6">
              <w:rPr>
                <w:color w:val="000000" w:themeColor="text1"/>
                <w:szCs w:val="24"/>
                <w:lang w:val="ru-RU"/>
              </w:rPr>
              <w:t>(см. раздел 4.4)</w:t>
            </w:r>
          </w:p>
        </w:tc>
      </w:tr>
      <w:tr w:rsidR="000E2B75" w:rsidRPr="00A80EE6" w14:paraId="1D5042D0" w14:textId="77777777" w:rsidTr="00AA3C48">
        <w:tc>
          <w:tcPr>
            <w:tcW w:w="0" w:type="auto"/>
            <w:gridSpan w:val="2"/>
          </w:tcPr>
          <w:p w14:paraId="721EA942" w14:textId="77777777" w:rsidR="00A617EF" w:rsidRPr="00A80EE6" w:rsidRDefault="00A617EF" w:rsidP="00C737E9">
            <w:pPr>
              <w:pStyle w:val="Text"/>
              <w:spacing w:before="0"/>
              <w:rPr>
                <w:b/>
                <w:color w:val="000000" w:themeColor="text1"/>
                <w:szCs w:val="24"/>
                <w:lang w:val="ru-RU"/>
              </w:rPr>
            </w:pPr>
            <w:r w:rsidRPr="00A80EE6">
              <w:rPr>
                <w:b/>
                <w:bCs/>
                <w:color w:val="000000" w:themeColor="text1"/>
                <w:szCs w:val="24"/>
                <w:lang w:val="ru-RU"/>
              </w:rPr>
              <w:t>Нарушения со стороны кожи и подкожных тканей</w:t>
            </w:r>
          </w:p>
        </w:tc>
      </w:tr>
      <w:tr w:rsidR="000E2B75" w:rsidRPr="00A80EE6" w14:paraId="5F0ACC0B" w14:textId="77777777" w:rsidTr="008053E2">
        <w:tc>
          <w:tcPr>
            <w:tcW w:w="2129" w:type="dxa"/>
          </w:tcPr>
          <w:p w14:paraId="2B1FE687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Очень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color w:val="000000" w:themeColor="text1"/>
                <w:szCs w:val="24"/>
              </w:rPr>
              <w:t>часто</w:t>
            </w:r>
            <w:proofErr w:type="spellEnd"/>
          </w:p>
        </w:tc>
        <w:tc>
          <w:tcPr>
            <w:tcW w:w="7158" w:type="dxa"/>
          </w:tcPr>
          <w:p w14:paraId="01DB8F08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Гирсутизм</w:t>
            </w:r>
            <w:proofErr w:type="spellEnd"/>
          </w:p>
        </w:tc>
      </w:tr>
      <w:tr w:rsidR="000E2B75" w:rsidRPr="00A80EE6" w14:paraId="2760BEB8" w14:textId="77777777" w:rsidTr="008053E2">
        <w:tc>
          <w:tcPr>
            <w:tcW w:w="2129" w:type="dxa"/>
          </w:tcPr>
          <w:p w14:paraId="3C42AD4C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Часто</w:t>
            </w:r>
            <w:proofErr w:type="spellEnd"/>
          </w:p>
        </w:tc>
        <w:tc>
          <w:tcPr>
            <w:tcW w:w="7158" w:type="dxa"/>
          </w:tcPr>
          <w:p w14:paraId="64FF0B48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Акне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A80EE6">
              <w:rPr>
                <w:color w:val="000000" w:themeColor="text1"/>
                <w:szCs w:val="24"/>
              </w:rPr>
              <w:t>гипертрихоз</w:t>
            </w:r>
            <w:proofErr w:type="spellEnd"/>
          </w:p>
        </w:tc>
      </w:tr>
      <w:tr w:rsidR="000E2B75" w:rsidRPr="00A80EE6" w14:paraId="2AE08D9B" w14:textId="77777777" w:rsidTr="008053E2">
        <w:tc>
          <w:tcPr>
            <w:tcW w:w="2129" w:type="dxa"/>
          </w:tcPr>
          <w:p w14:paraId="45817275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Нечасто</w:t>
            </w:r>
            <w:proofErr w:type="spellEnd"/>
          </w:p>
        </w:tc>
        <w:tc>
          <w:tcPr>
            <w:tcW w:w="7158" w:type="dxa"/>
          </w:tcPr>
          <w:p w14:paraId="1210D5A3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Аллергическая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color w:val="000000" w:themeColor="text1"/>
                <w:szCs w:val="24"/>
              </w:rPr>
              <w:t>сыпь</w:t>
            </w:r>
            <w:proofErr w:type="spellEnd"/>
          </w:p>
        </w:tc>
      </w:tr>
      <w:tr w:rsidR="000E2B75" w:rsidRPr="00A80EE6" w14:paraId="75A4D275" w14:textId="77777777" w:rsidTr="00AA3C48">
        <w:tc>
          <w:tcPr>
            <w:tcW w:w="0" w:type="auto"/>
            <w:gridSpan w:val="2"/>
          </w:tcPr>
          <w:p w14:paraId="03A5406A" w14:textId="77777777" w:rsidR="00A617EF" w:rsidRPr="00A80EE6" w:rsidRDefault="00A617EF" w:rsidP="00C737E9">
            <w:pPr>
              <w:pStyle w:val="Text"/>
              <w:spacing w:before="0"/>
              <w:rPr>
                <w:b/>
                <w:color w:val="000000" w:themeColor="text1"/>
                <w:szCs w:val="24"/>
                <w:lang w:val="ru-RU"/>
              </w:rPr>
            </w:pPr>
            <w:r w:rsidRPr="00A80EE6">
              <w:rPr>
                <w:b/>
                <w:bCs/>
                <w:color w:val="000000" w:themeColor="text1"/>
                <w:szCs w:val="24"/>
                <w:lang w:val="ru-RU"/>
              </w:rPr>
              <w:t>Нарушения со стороны скелетно-мышечной и соединительной ткани</w:t>
            </w:r>
          </w:p>
        </w:tc>
      </w:tr>
      <w:tr w:rsidR="000E2B75" w:rsidRPr="00A80EE6" w14:paraId="7D466FDC" w14:textId="77777777" w:rsidTr="008053E2">
        <w:tc>
          <w:tcPr>
            <w:tcW w:w="2129" w:type="dxa"/>
          </w:tcPr>
          <w:p w14:paraId="4F2ADC4C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Часто</w:t>
            </w:r>
            <w:proofErr w:type="spellEnd"/>
          </w:p>
        </w:tc>
        <w:tc>
          <w:tcPr>
            <w:tcW w:w="7158" w:type="dxa"/>
          </w:tcPr>
          <w:p w14:paraId="3A522AF3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Миалгия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A80EE6">
              <w:rPr>
                <w:color w:val="000000" w:themeColor="text1"/>
                <w:szCs w:val="24"/>
              </w:rPr>
              <w:t>мышечные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color w:val="000000" w:themeColor="text1"/>
                <w:szCs w:val="24"/>
              </w:rPr>
              <w:t>спазмы</w:t>
            </w:r>
            <w:proofErr w:type="spellEnd"/>
          </w:p>
        </w:tc>
      </w:tr>
      <w:tr w:rsidR="000E2B75" w:rsidRPr="00A80EE6" w14:paraId="00891DD7" w14:textId="77777777" w:rsidTr="008053E2">
        <w:tc>
          <w:tcPr>
            <w:tcW w:w="2129" w:type="dxa"/>
          </w:tcPr>
          <w:p w14:paraId="123E44FC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Редко</w:t>
            </w:r>
            <w:proofErr w:type="spellEnd"/>
          </w:p>
        </w:tc>
        <w:tc>
          <w:tcPr>
            <w:tcW w:w="7158" w:type="dxa"/>
          </w:tcPr>
          <w:p w14:paraId="79E926F9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  <w:lang w:val="ru-RU"/>
              </w:rPr>
            </w:pPr>
            <w:r w:rsidRPr="00A80EE6">
              <w:rPr>
                <w:color w:val="000000" w:themeColor="text1"/>
                <w:szCs w:val="24"/>
                <w:lang w:val="ru-RU"/>
              </w:rPr>
              <w:t>Мышечная слабость, миопатия</w:t>
            </w:r>
          </w:p>
        </w:tc>
      </w:tr>
      <w:tr w:rsidR="00314DF1" w:rsidRPr="00A80EE6" w14:paraId="05D2762D" w14:textId="77777777" w:rsidTr="008053E2">
        <w:tc>
          <w:tcPr>
            <w:tcW w:w="2129" w:type="dxa"/>
          </w:tcPr>
          <w:p w14:paraId="274A6C7E" w14:textId="77777777" w:rsidR="00314DF1" w:rsidRPr="00A80EE6" w:rsidRDefault="00314DF1" w:rsidP="00C737E9">
            <w:pPr>
              <w:pStyle w:val="Text"/>
              <w:spacing w:before="0"/>
              <w:rPr>
                <w:color w:val="000000" w:themeColor="text1"/>
                <w:szCs w:val="24"/>
                <w:lang w:val="ru-RU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Неизвестно</w:t>
            </w:r>
            <w:proofErr w:type="spellEnd"/>
            <w:r w:rsidRPr="00A80EE6">
              <w:rPr>
                <w:color w:val="000000" w:themeColor="text1"/>
                <w:szCs w:val="24"/>
              </w:rPr>
              <w:t>*</w:t>
            </w:r>
          </w:p>
        </w:tc>
        <w:tc>
          <w:tcPr>
            <w:tcW w:w="7158" w:type="dxa"/>
          </w:tcPr>
          <w:p w14:paraId="6D30D7C4" w14:textId="77777777" w:rsidR="00314DF1" w:rsidRPr="00A80EE6" w:rsidRDefault="00314DF1" w:rsidP="00C737E9">
            <w:pPr>
              <w:pStyle w:val="Text"/>
              <w:spacing w:before="0"/>
              <w:rPr>
                <w:color w:val="000000" w:themeColor="text1"/>
                <w:szCs w:val="24"/>
                <w:lang w:val="ru-RU"/>
              </w:rPr>
            </w:pPr>
            <w:r w:rsidRPr="00A80EE6">
              <w:rPr>
                <w:color w:val="000000" w:themeColor="text1"/>
                <w:szCs w:val="24"/>
                <w:lang w:val="ru-RU"/>
              </w:rPr>
              <w:t>Боль в нижних конечностях</w:t>
            </w:r>
          </w:p>
        </w:tc>
      </w:tr>
      <w:tr w:rsidR="000E2B75" w:rsidRPr="00A80EE6" w14:paraId="51876183" w14:textId="77777777" w:rsidTr="00AA3C48">
        <w:tc>
          <w:tcPr>
            <w:tcW w:w="0" w:type="auto"/>
            <w:gridSpan w:val="2"/>
          </w:tcPr>
          <w:p w14:paraId="760C50DF" w14:textId="77777777" w:rsidR="00A617EF" w:rsidRPr="00A80EE6" w:rsidRDefault="00A617EF" w:rsidP="00C737E9">
            <w:pPr>
              <w:pStyle w:val="Text"/>
              <w:spacing w:before="0"/>
              <w:rPr>
                <w:b/>
                <w:color w:val="000000" w:themeColor="text1"/>
                <w:szCs w:val="24"/>
                <w:lang w:val="ru-RU"/>
              </w:rPr>
            </w:pPr>
            <w:r w:rsidRPr="00A80EE6">
              <w:rPr>
                <w:b/>
                <w:bCs/>
                <w:color w:val="000000" w:themeColor="text1"/>
                <w:szCs w:val="24"/>
                <w:lang w:val="ru-RU"/>
              </w:rPr>
              <w:t>Нарушения со стороны почек и мочевыводящих путей</w:t>
            </w:r>
          </w:p>
        </w:tc>
      </w:tr>
      <w:tr w:rsidR="000E2B75" w:rsidRPr="00A80EE6" w14:paraId="7B627808" w14:textId="77777777" w:rsidTr="008053E2">
        <w:tc>
          <w:tcPr>
            <w:tcW w:w="2129" w:type="dxa"/>
          </w:tcPr>
          <w:p w14:paraId="51B4CB03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Очень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color w:val="000000" w:themeColor="text1"/>
                <w:szCs w:val="24"/>
              </w:rPr>
              <w:t>часто</w:t>
            </w:r>
            <w:proofErr w:type="spellEnd"/>
          </w:p>
        </w:tc>
        <w:tc>
          <w:tcPr>
            <w:tcW w:w="7158" w:type="dxa"/>
          </w:tcPr>
          <w:p w14:paraId="7D2B261F" w14:textId="2755EEC8" w:rsidR="00D42376" w:rsidRPr="00A80EE6" w:rsidRDefault="00A617EF" w:rsidP="00D67CE1">
            <w:pPr>
              <w:pStyle w:val="Text"/>
              <w:spacing w:before="0"/>
              <w:rPr>
                <w:color w:val="000000" w:themeColor="text1"/>
                <w:szCs w:val="24"/>
                <w:lang w:val="kk-KZ"/>
              </w:rPr>
            </w:pPr>
            <w:r w:rsidRPr="00A80EE6">
              <w:rPr>
                <w:color w:val="000000" w:themeColor="text1"/>
                <w:szCs w:val="24"/>
                <w:lang w:val="ru-RU"/>
              </w:rPr>
              <w:t xml:space="preserve">Нарушение функции почек </w:t>
            </w:r>
            <w:r w:rsidR="008053E2" w:rsidRPr="00A80EE6">
              <w:rPr>
                <w:color w:val="000000" w:themeColor="text1"/>
                <w:szCs w:val="24"/>
                <w:lang w:val="ru-RU"/>
              </w:rPr>
              <w:t>(см. раздел 4.4)</w:t>
            </w:r>
          </w:p>
        </w:tc>
      </w:tr>
      <w:tr w:rsidR="000E2B75" w:rsidRPr="00A80EE6" w14:paraId="24F04BB7" w14:textId="77777777" w:rsidTr="00AA3C48">
        <w:tc>
          <w:tcPr>
            <w:tcW w:w="0" w:type="auto"/>
            <w:gridSpan w:val="2"/>
          </w:tcPr>
          <w:p w14:paraId="0BA3C604" w14:textId="77777777" w:rsidR="00A617EF" w:rsidRPr="00A80EE6" w:rsidRDefault="00A617EF" w:rsidP="00C737E9">
            <w:pPr>
              <w:pStyle w:val="Text"/>
              <w:spacing w:before="0"/>
              <w:rPr>
                <w:b/>
                <w:color w:val="000000" w:themeColor="text1"/>
                <w:szCs w:val="24"/>
                <w:lang w:val="ru-RU"/>
              </w:rPr>
            </w:pPr>
            <w:r w:rsidRPr="00A80EE6">
              <w:rPr>
                <w:b/>
                <w:bCs/>
                <w:color w:val="000000" w:themeColor="text1"/>
                <w:szCs w:val="24"/>
                <w:lang w:val="ru-RU"/>
              </w:rPr>
              <w:lastRenderedPageBreak/>
              <w:t>Со стороны половой системы и молочных желез</w:t>
            </w:r>
          </w:p>
        </w:tc>
      </w:tr>
      <w:tr w:rsidR="000E2B75" w:rsidRPr="00A80EE6" w14:paraId="59D87FAB" w14:textId="77777777" w:rsidTr="008053E2">
        <w:tc>
          <w:tcPr>
            <w:tcW w:w="2129" w:type="dxa"/>
          </w:tcPr>
          <w:p w14:paraId="3195712A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Редко</w:t>
            </w:r>
            <w:proofErr w:type="spellEnd"/>
          </w:p>
        </w:tc>
        <w:tc>
          <w:tcPr>
            <w:tcW w:w="7158" w:type="dxa"/>
          </w:tcPr>
          <w:p w14:paraId="4D232F40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Нарушение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color w:val="000000" w:themeColor="text1"/>
                <w:szCs w:val="24"/>
              </w:rPr>
              <w:t>менструального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color w:val="000000" w:themeColor="text1"/>
                <w:szCs w:val="24"/>
              </w:rPr>
              <w:t>цикла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A80EE6">
              <w:rPr>
                <w:color w:val="000000" w:themeColor="text1"/>
                <w:szCs w:val="24"/>
              </w:rPr>
              <w:t>гинекомастия</w:t>
            </w:r>
            <w:proofErr w:type="spellEnd"/>
          </w:p>
        </w:tc>
      </w:tr>
      <w:tr w:rsidR="000E2B75" w:rsidRPr="00A80EE6" w14:paraId="5047D662" w14:textId="77777777" w:rsidTr="00AA3C48">
        <w:tc>
          <w:tcPr>
            <w:tcW w:w="0" w:type="auto"/>
            <w:gridSpan w:val="2"/>
          </w:tcPr>
          <w:p w14:paraId="61A69FA8" w14:textId="77777777" w:rsidR="00A617EF" w:rsidRPr="00A80EE6" w:rsidRDefault="00A617EF" w:rsidP="00C737E9">
            <w:pPr>
              <w:pStyle w:val="Text"/>
              <w:spacing w:before="0"/>
              <w:rPr>
                <w:b/>
                <w:color w:val="000000" w:themeColor="text1"/>
                <w:szCs w:val="24"/>
                <w:lang w:val="ru-RU"/>
              </w:rPr>
            </w:pPr>
            <w:r w:rsidRPr="00A80EE6">
              <w:rPr>
                <w:b/>
                <w:bCs/>
                <w:color w:val="000000" w:themeColor="text1"/>
                <w:szCs w:val="24"/>
                <w:lang w:val="ru-RU"/>
              </w:rPr>
              <w:t>Общие расстройства и нарушения в месте введения</w:t>
            </w:r>
          </w:p>
        </w:tc>
      </w:tr>
      <w:tr w:rsidR="000E2B75" w:rsidRPr="00A80EE6" w14:paraId="7ADFB6D0" w14:textId="77777777" w:rsidTr="008053E2">
        <w:tc>
          <w:tcPr>
            <w:tcW w:w="2129" w:type="dxa"/>
          </w:tcPr>
          <w:p w14:paraId="6EF84C15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Часто</w:t>
            </w:r>
            <w:proofErr w:type="spellEnd"/>
          </w:p>
        </w:tc>
        <w:tc>
          <w:tcPr>
            <w:tcW w:w="7158" w:type="dxa"/>
          </w:tcPr>
          <w:p w14:paraId="468BC3B4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Лихорадка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A80EE6">
              <w:rPr>
                <w:color w:val="000000" w:themeColor="text1"/>
                <w:szCs w:val="24"/>
              </w:rPr>
              <w:t>утомляемость</w:t>
            </w:r>
            <w:proofErr w:type="spellEnd"/>
          </w:p>
        </w:tc>
      </w:tr>
      <w:tr w:rsidR="000E2B75" w:rsidRPr="00A80EE6" w14:paraId="364508A2" w14:textId="77777777" w:rsidTr="008053E2">
        <w:tc>
          <w:tcPr>
            <w:tcW w:w="2129" w:type="dxa"/>
          </w:tcPr>
          <w:p w14:paraId="73755560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Нечасто</w:t>
            </w:r>
            <w:proofErr w:type="spellEnd"/>
          </w:p>
        </w:tc>
        <w:tc>
          <w:tcPr>
            <w:tcW w:w="7158" w:type="dxa"/>
          </w:tcPr>
          <w:p w14:paraId="775941FA" w14:textId="77777777" w:rsidR="00A617EF" w:rsidRPr="00A80EE6" w:rsidRDefault="00A617EF" w:rsidP="00C737E9">
            <w:pPr>
              <w:pStyle w:val="Text"/>
              <w:spacing w:before="0"/>
              <w:rPr>
                <w:color w:val="000000" w:themeColor="text1"/>
                <w:szCs w:val="24"/>
              </w:rPr>
            </w:pPr>
            <w:proofErr w:type="spellStart"/>
            <w:r w:rsidRPr="00A80EE6">
              <w:rPr>
                <w:color w:val="000000" w:themeColor="text1"/>
                <w:szCs w:val="24"/>
              </w:rPr>
              <w:t>Отек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A80EE6">
              <w:rPr>
                <w:color w:val="000000" w:themeColor="text1"/>
                <w:szCs w:val="24"/>
              </w:rPr>
              <w:t>увеличение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color w:val="000000" w:themeColor="text1"/>
                <w:szCs w:val="24"/>
              </w:rPr>
              <w:t>массы</w:t>
            </w:r>
            <w:proofErr w:type="spellEnd"/>
            <w:r w:rsidRPr="00A80EE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80EE6">
              <w:rPr>
                <w:color w:val="000000" w:themeColor="text1"/>
                <w:szCs w:val="24"/>
              </w:rPr>
              <w:t>тела</w:t>
            </w:r>
            <w:proofErr w:type="spellEnd"/>
          </w:p>
        </w:tc>
      </w:tr>
    </w:tbl>
    <w:p w14:paraId="11690F96" w14:textId="77777777" w:rsidR="00A617EF" w:rsidRPr="00A80EE6" w:rsidRDefault="00A617EF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0E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* Нежелательные реакции, полученные из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0"/>
          <w:szCs w:val="20"/>
        </w:rPr>
        <w:t>постмаркетинговых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исследований, где частота возникновения таких реакций неизвестна в связи с отсутствием знаменателя.</w:t>
      </w:r>
    </w:p>
    <w:p w14:paraId="0687B414" w14:textId="77777777" w:rsidR="007B3A02" w:rsidRPr="00A80EE6" w:rsidRDefault="005B40CF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0EE6">
        <w:rPr>
          <w:rFonts w:ascii="Times New Roman" w:hAnsi="Times New Roman" w:cs="Times New Roman"/>
          <w:color w:val="000000" w:themeColor="text1"/>
          <w:sz w:val="20"/>
          <w:szCs w:val="20"/>
        </w:rPr>
        <w:t># Сообщалось о нарушении слуха в пострегистрационном периоде у пациентов с высокими уровнями циклоспорина.</w:t>
      </w:r>
    </w:p>
    <w:p w14:paraId="1F141ACA" w14:textId="649553CE" w:rsidR="00A617EF" w:rsidRPr="00A80EE6" w:rsidRDefault="00A617EF" w:rsidP="00C737E9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Данные </w:t>
      </w:r>
      <w:proofErr w:type="spellStart"/>
      <w:r w:rsidR="00D67CE1"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постмаркетингового</w:t>
      </w:r>
      <w:proofErr w:type="spellEnd"/>
      <w:r w:rsidR="00D67CE1"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периода </w:t>
      </w: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касательно других нежелательных реакций</w:t>
      </w:r>
    </w:p>
    <w:p w14:paraId="615481B6" w14:textId="39CAC9E2" w:rsidR="00A617EF" w:rsidRPr="00A80EE6" w:rsidRDefault="00D67CE1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Имеются запрошенные и спонтанные сообщения о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гепатотоксичности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поражении печени, включая холестаз, желтушный гепатит и печеночную недостаточность у пациентов, получавших циклоспорин. </w:t>
      </w:r>
      <w:r w:rsidR="00A617EF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Большинство сообщений касалось пациентов с серьезными сопутствующими заболеваниями, с разными исходными условиями и другими отягощающими факторами, включая инфекционные осложнения и сопутствующее использование потенциально гепатотоксических препаратов. В некоторых случаях, в основном у пациентов после трансплантации, зарегистрированы летальные исходы</w:t>
      </w:r>
      <w:r w:rsidR="00F0473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(см. раздел 4.4)</w:t>
      </w:r>
      <w:r w:rsidR="00A617EF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010427" w14:textId="77777777" w:rsidR="00A617EF" w:rsidRPr="00A80EE6" w:rsidRDefault="00A617EF" w:rsidP="00C737E9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Острая и хроническая </w:t>
      </w:r>
      <w:proofErr w:type="spellStart"/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нефротоксичность</w:t>
      </w:r>
      <w:proofErr w:type="spellEnd"/>
    </w:p>
    <w:p w14:paraId="7C090842" w14:textId="77777777" w:rsidR="00A617EF" w:rsidRPr="00A80EE6" w:rsidRDefault="00A617EF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пациентов, которые получают лечение ингибиторами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кальцийнейрина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(CNI), в том числе циклоспорином, или которым назначены схемы лечения, включающие циклоспорин, повышается риск возникновения острой или хронической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нефротоксичности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 основе данных клинических 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постмаркетинговых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исследований сообщалось о случаях, связанных с использованием препарата </w:t>
      </w:r>
      <w:proofErr w:type="spellStart"/>
      <w:r w:rsidR="00DE0525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DE0525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DE0525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Случаи острой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нефротоксичности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ассоциировали с нарушениями ионного гемостаза, такими как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гиперкалиемия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гипомагниемия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гиперурикемия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 Сообщалось о случаях хронических морфологических изменений, таких как гиалиноз артериол, трубчатая атрофия и интерстициальный фиброз</w:t>
      </w:r>
      <w:r w:rsidR="00EE4DD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(см. раздел 4.4)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8EBFBF" w14:textId="77777777" w:rsidR="00A617EF" w:rsidRPr="00A80EE6" w:rsidRDefault="00A617EF" w:rsidP="00C737E9">
      <w:pPr>
        <w:pStyle w:val="Text"/>
        <w:spacing w:before="0"/>
        <w:rPr>
          <w:rFonts w:eastAsia="Times New Roman"/>
          <w:i/>
          <w:color w:val="000000" w:themeColor="text1"/>
          <w:szCs w:val="24"/>
          <w:lang w:val="ru-RU"/>
        </w:rPr>
      </w:pPr>
      <w:r w:rsidRPr="00A80EE6">
        <w:rPr>
          <w:rFonts w:eastAsia="Times New Roman"/>
          <w:i/>
          <w:color w:val="000000" w:themeColor="text1"/>
          <w:szCs w:val="24"/>
          <w:lang w:val="ru-RU"/>
        </w:rPr>
        <w:t>Боль в нижних конечностях</w:t>
      </w:r>
    </w:p>
    <w:p w14:paraId="5C5EBEDA" w14:textId="77777777" w:rsidR="00A617EF" w:rsidRPr="00A80EE6" w:rsidRDefault="00A617EF" w:rsidP="00C737E9">
      <w:pPr>
        <w:pStyle w:val="Text"/>
        <w:spacing w:before="0"/>
        <w:rPr>
          <w:rFonts w:eastAsia="Times New Roman"/>
          <w:color w:val="000000" w:themeColor="text1"/>
          <w:szCs w:val="24"/>
          <w:lang w:val="ru-RU"/>
        </w:rPr>
      </w:pPr>
      <w:r w:rsidRPr="00A80EE6">
        <w:rPr>
          <w:rFonts w:eastAsia="Times New Roman"/>
          <w:color w:val="000000" w:themeColor="text1"/>
          <w:szCs w:val="24"/>
          <w:lang w:val="ru-RU"/>
        </w:rPr>
        <w:t xml:space="preserve">Единичные случаи боли в нижних конечностях были зарегистрированы в связи с применением циклоспорина. Также отмечено, что боль в нижних конечностях является частью болевого синдрома, индуцированного ингибитором </w:t>
      </w:r>
      <w:proofErr w:type="spellStart"/>
      <w:r w:rsidRPr="00A80EE6">
        <w:rPr>
          <w:rFonts w:eastAsia="Times New Roman"/>
          <w:color w:val="000000" w:themeColor="text1"/>
          <w:szCs w:val="24"/>
          <w:lang w:val="ru-RU"/>
        </w:rPr>
        <w:t>кальцийнейрина</w:t>
      </w:r>
      <w:proofErr w:type="spellEnd"/>
      <w:r w:rsidRPr="00A80EE6">
        <w:rPr>
          <w:rFonts w:eastAsia="Times New Roman"/>
          <w:color w:val="000000" w:themeColor="text1"/>
          <w:szCs w:val="24"/>
          <w:lang w:val="ru-RU"/>
        </w:rPr>
        <w:t xml:space="preserve">. </w:t>
      </w:r>
    </w:p>
    <w:p w14:paraId="39CCA171" w14:textId="77777777" w:rsidR="00A617EF" w:rsidRPr="00A80EE6" w:rsidRDefault="00A617EF" w:rsidP="00C737E9">
      <w:pPr>
        <w:pStyle w:val="Text"/>
        <w:spacing w:before="0"/>
        <w:rPr>
          <w:rFonts w:eastAsia="Times New Roman"/>
          <w:i/>
          <w:color w:val="000000" w:themeColor="text1"/>
          <w:szCs w:val="24"/>
          <w:lang w:val="ru-RU"/>
        </w:rPr>
      </w:pPr>
      <w:r w:rsidRPr="00A80EE6">
        <w:rPr>
          <w:i/>
          <w:color w:val="000000" w:themeColor="text1"/>
          <w:szCs w:val="24"/>
          <w:lang w:val="ru-RU"/>
        </w:rPr>
        <w:t>Дети</w:t>
      </w:r>
    </w:p>
    <w:p w14:paraId="7A5A2EBC" w14:textId="77777777" w:rsidR="00A617EF" w:rsidRPr="00A80EE6" w:rsidRDefault="00A617EF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клинических исследований было изучено влияние препарата на детей в возрасте от 1 года при стандартной дозировке циклоспорина с совместимым профилем безопасности для взрослых.</w:t>
      </w:r>
    </w:p>
    <w:p w14:paraId="70BFD576" w14:textId="77777777" w:rsidR="004B1A10" w:rsidRPr="00A80EE6" w:rsidRDefault="004B1A10" w:rsidP="00C737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6CF0C1" w14:textId="77777777" w:rsidR="00E47359" w:rsidRPr="00A80EE6" w:rsidRDefault="00E47359" w:rsidP="00C737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Сообщение о подозреваемых нежелательных реакциях </w:t>
      </w:r>
    </w:p>
    <w:p w14:paraId="105CCA59" w14:textId="77777777" w:rsidR="00E47359" w:rsidRPr="00A80EE6" w:rsidRDefault="00E47359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Важно сообщать о подозреваемых нежелательных реакциях после регистрации ЛП с целью обеспечения непрерывного мониторинга соотношения «польза – риск» ЛП.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РК. </w:t>
      </w:r>
    </w:p>
    <w:p w14:paraId="52CB6E94" w14:textId="77777777" w:rsidR="00995912" w:rsidRPr="00A80EE6" w:rsidRDefault="00995912" w:rsidP="00C737E9">
      <w:pPr>
        <w:pStyle w:val="ae"/>
        <w:spacing w:before="0" w:beforeAutospacing="0" w:after="0" w:afterAutospacing="0"/>
        <w:jc w:val="both"/>
        <w:rPr>
          <w:color w:val="000000" w:themeColor="text1"/>
          <w:lang w:val="kk-KZ"/>
        </w:rPr>
      </w:pPr>
      <w:r w:rsidRPr="00A80EE6">
        <w:rPr>
          <w:color w:val="000000" w:themeColor="text1"/>
        </w:rPr>
        <w:t xml:space="preserve">РГП на ПХВ «Национальный Центр экспертизы лекарственных средств и медицинских изделий» Комитет </w:t>
      </w:r>
      <w:r w:rsidR="004B1A10" w:rsidRPr="00A80EE6">
        <w:rPr>
          <w:color w:val="000000" w:themeColor="text1"/>
        </w:rPr>
        <w:t xml:space="preserve">медицинского и фармацевтического </w:t>
      </w:r>
      <w:r w:rsidRPr="00A80EE6">
        <w:rPr>
          <w:color w:val="000000" w:themeColor="text1"/>
        </w:rPr>
        <w:t>контроля Министерства здравоохранения Республики Казахстан</w:t>
      </w:r>
      <w:r w:rsidRPr="00A80EE6">
        <w:rPr>
          <w:color w:val="000000" w:themeColor="text1"/>
          <w:lang w:val="kk-KZ"/>
        </w:rPr>
        <w:t xml:space="preserve">  </w:t>
      </w:r>
    </w:p>
    <w:p w14:paraId="615E1116" w14:textId="77777777" w:rsidR="00804FBF" w:rsidRPr="00A80EE6" w:rsidRDefault="00DA624C" w:rsidP="00C737E9">
      <w:pPr>
        <w:pStyle w:val="ae"/>
        <w:spacing w:before="0" w:beforeAutospacing="0" w:after="0" w:afterAutospacing="0"/>
        <w:jc w:val="both"/>
        <w:rPr>
          <w:color w:val="000000" w:themeColor="text1"/>
          <w:lang w:val="kk-KZ"/>
        </w:rPr>
      </w:pPr>
      <w:hyperlink r:id="rId8" w:history="1">
        <w:r w:rsidR="00EB382B" w:rsidRPr="00A80EE6">
          <w:rPr>
            <w:rStyle w:val="ab"/>
            <w:color w:val="000000" w:themeColor="text1"/>
            <w:u w:val="none"/>
            <w:lang w:val="en-US"/>
          </w:rPr>
          <w:t>http</w:t>
        </w:r>
        <w:r w:rsidR="00EB382B" w:rsidRPr="00A80EE6">
          <w:rPr>
            <w:rStyle w:val="ab"/>
            <w:color w:val="000000" w:themeColor="text1"/>
            <w:u w:val="none"/>
          </w:rPr>
          <w:t>://</w:t>
        </w:r>
        <w:r w:rsidR="00EB382B" w:rsidRPr="00A80EE6">
          <w:rPr>
            <w:rStyle w:val="ab"/>
            <w:color w:val="000000" w:themeColor="text1"/>
            <w:u w:val="none"/>
            <w:lang w:val="en-US"/>
          </w:rPr>
          <w:t>www</w:t>
        </w:r>
        <w:r w:rsidR="00EB382B" w:rsidRPr="00A80EE6">
          <w:rPr>
            <w:rStyle w:val="ab"/>
            <w:color w:val="000000" w:themeColor="text1"/>
            <w:u w:val="none"/>
          </w:rPr>
          <w:t>.</w:t>
        </w:r>
        <w:proofErr w:type="spellStart"/>
        <w:r w:rsidR="00EB382B" w:rsidRPr="00A80EE6">
          <w:rPr>
            <w:rStyle w:val="ab"/>
            <w:color w:val="000000" w:themeColor="text1"/>
            <w:u w:val="none"/>
            <w:lang w:val="en-US"/>
          </w:rPr>
          <w:t>ndda</w:t>
        </w:r>
        <w:proofErr w:type="spellEnd"/>
        <w:r w:rsidR="00EB382B" w:rsidRPr="00A80EE6">
          <w:rPr>
            <w:rStyle w:val="ab"/>
            <w:color w:val="000000" w:themeColor="text1"/>
            <w:u w:val="none"/>
          </w:rPr>
          <w:t>.</w:t>
        </w:r>
        <w:proofErr w:type="spellStart"/>
        <w:r w:rsidR="00EB382B" w:rsidRPr="00A80EE6">
          <w:rPr>
            <w:rStyle w:val="ab"/>
            <w:color w:val="000000" w:themeColor="text1"/>
            <w:u w:val="none"/>
            <w:lang w:val="en-US"/>
          </w:rPr>
          <w:t>kz</w:t>
        </w:r>
        <w:proofErr w:type="spellEnd"/>
      </w:hyperlink>
    </w:p>
    <w:p w14:paraId="70C2535A" w14:textId="77777777" w:rsidR="00D42376" w:rsidRPr="00A80EE6" w:rsidRDefault="00D42376" w:rsidP="00C737E9">
      <w:pPr>
        <w:pStyle w:val="ae"/>
        <w:spacing w:before="0" w:beforeAutospacing="0" w:after="0" w:afterAutospacing="0"/>
        <w:jc w:val="both"/>
        <w:rPr>
          <w:bCs/>
          <w:color w:val="000000" w:themeColor="text1"/>
          <w:lang w:val="kk-KZ"/>
        </w:rPr>
      </w:pPr>
    </w:p>
    <w:p w14:paraId="6A04A625" w14:textId="77777777" w:rsidR="00974FA6" w:rsidRPr="00A80EE6" w:rsidRDefault="00974FA6" w:rsidP="00C737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4.9. Передозировка</w:t>
      </w:r>
    </w:p>
    <w:p w14:paraId="4F66BC6C" w14:textId="77777777" w:rsidR="006713D5" w:rsidRPr="00A80EE6" w:rsidRDefault="006713D5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Полулетальная доза (LD50) циклоспорина, принимаемого перорально, составляет 2329 мг/кг для</w:t>
      </w:r>
      <w:r w:rsidR="004B1A1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мышей, 1480 мг/кг для крыс и &gt;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1000 мг/кг для кроликов. Полулетальная доза (LD50) циклоспорина, вводимая внутривенно, составляет 148 мг/кг для мышей, 104 мг/кг для крыс и 46 мг/кг для кроликов.</w:t>
      </w:r>
    </w:p>
    <w:p w14:paraId="3357530D" w14:textId="77777777" w:rsidR="006713D5" w:rsidRPr="00A80EE6" w:rsidRDefault="006713D5" w:rsidP="00C737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Симптомы</w:t>
      </w:r>
    </w:p>
    <w:p w14:paraId="3819EF11" w14:textId="77777777" w:rsidR="006713D5" w:rsidRPr="00A80EE6" w:rsidRDefault="006713D5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Данные по острой передозировке циклоспорином ограничены. Пероральный прием дозы до 10 г (примерно 150 мг/кг) приводил к относительно незначительным клиническим последствиям (рвота, сонливость, головная боль, тахикардия) и у некоторых пациентов</w:t>
      </w:r>
      <w:r w:rsidR="0012040C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— к обратимым нарушениям функции почек умеренной степени тяжести. Случайная парентеральная передозировка циклоспорином у недоношенных новорожденных привела к тяжелой интоксикации.</w:t>
      </w:r>
    </w:p>
    <w:p w14:paraId="55F534BE" w14:textId="77777777" w:rsidR="006713D5" w:rsidRPr="00A80EE6" w:rsidRDefault="006713D5" w:rsidP="00C737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Лечение</w:t>
      </w:r>
    </w:p>
    <w:p w14:paraId="3AF5477F" w14:textId="77777777" w:rsidR="006713D5" w:rsidRPr="00A80EE6" w:rsidRDefault="006713D5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всех случаях передозировки следует провести симптоматическое лечение и общие поддерживающие мероприятия. В первые часы после передозировки следует вызвать рвоту и промыть желудок. Циклоспорин практически не выводится при диализе 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гемоперфузии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применением активированного угля.</w:t>
      </w:r>
    </w:p>
    <w:p w14:paraId="6EC4B13E" w14:textId="77777777" w:rsidR="00637960" w:rsidRPr="00A80EE6" w:rsidRDefault="00637960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D09D20" w14:textId="77777777" w:rsidR="00367DB4" w:rsidRPr="00A80EE6" w:rsidRDefault="00367DB4" w:rsidP="00C737E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ФАРМАКОЛОГИЧЕСКИЕ СВОЙСТВА</w:t>
      </w:r>
    </w:p>
    <w:p w14:paraId="00288303" w14:textId="77777777" w:rsidR="00367DB4" w:rsidRPr="00A80EE6" w:rsidRDefault="00367DB4" w:rsidP="00C737E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5.1 Фармакодинамические свойства</w:t>
      </w:r>
    </w:p>
    <w:p w14:paraId="2D36A7EA" w14:textId="77777777" w:rsidR="002F71B6" w:rsidRPr="00A80EE6" w:rsidRDefault="00780F75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Фармакотерапевтическая группа:</w:t>
      </w:r>
      <w:r w:rsidRPr="00A80EE6">
        <w:rPr>
          <w:color w:val="000000" w:themeColor="text1"/>
        </w:rPr>
        <w:t xml:space="preserve"> </w:t>
      </w:r>
      <w:proofErr w:type="spellStart"/>
      <w:r w:rsidR="00B121D5" w:rsidRPr="00A80EE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Иммуносупрессанты</w:t>
      </w:r>
      <w:proofErr w:type="spellEnd"/>
      <w:r w:rsidR="00B121D5" w:rsidRPr="00A80EE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="00B121D5" w:rsidRPr="00A80EE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Кальциневрина</w:t>
      </w:r>
      <w:proofErr w:type="spellEnd"/>
      <w:r w:rsidR="00B121D5" w:rsidRPr="00A80EE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ингибиторы. Циклоспорин</w:t>
      </w:r>
    </w:p>
    <w:p w14:paraId="24D47ABA" w14:textId="77777777" w:rsidR="002F71B6" w:rsidRPr="00A80EE6" w:rsidRDefault="002F71B6" w:rsidP="00C737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 АТХ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</w:p>
    <w:p w14:paraId="0674F4B6" w14:textId="77777777" w:rsidR="009C775F" w:rsidRPr="00A80EE6" w:rsidRDefault="009C775F" w:rsidP="00C737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Механизм действия</w:t>
      </w:r>
    </w:p>
    <w:p w14:paraId="4FDC9400" w14:textId="5FCE31DC" w:rsidR="009C775F" w:rsidRPr="00A80EE6" w:rsidRDefault="009C775F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Циклоспорин (также известный как циклоспорин А) представляет собой циклический полипептид, состоящий из 11 аминокислот. Циклоспорин является сильнодействующим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иммуносупрессивным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препаратом, который </w:t>
      </w:r>
      <w:r w:rsidR="005968FB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животных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увеличивает время жизни аллогенных трансплантатов кожи, сердца, почек, поджелудочной железы, костного мозга, тонкого кишечника, легких. По результатам исследований высказано предположение, что циклоспорин ингибирует развитие клеточно-опосредованных реакций, включая иммунные реакции на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аллотрансплантат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реакции гиперчувствительности замедленного типа, аллергический энцефаломиелит, артрит, обусловленный адъювантом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Фройнда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реакции «трансплантат против хозяина» (РТПХ) и зависимое от Т-лимфоцитов образование антител. На клеточном уровне он подавляет образование и высвобождение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лимфокинов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включая интерлейкин 2 (фактор роста Т-лимфоцитов). Циклоспорин блокирует лимфоциты в состоянии покоя в фазе G0 или G1 клеточного цикла и подавляет антиген-зависимое высвобождение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лимфокинов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активированными Т-лимфоцитами.</w:t>
      </w:r>
    </w:p>
    <w:p w14:paraId="5C26B271" w14:textId="77777777" w:rsidR="009C775F" w:rsidRPr="00A80EE6" w:rsidRDefault="009C775F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всех доступных данных можно сделать вывод, что циклоспорин действует на лимфоциты специфично и обратимо. В отличие от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цитостатиков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циклоспорин не подавляет процесс кроветворения и не влияет на функцию фагоцитарных клеток.</w:t>
      </w:r>
    </w:p>
    <w:p w14:paraId="53988F36" w14:textId="5C385C21" w:rsidR="009C775F" w:rsidRPr="00A80EE6" w:rsidRDefault="009C775F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Трансплантации солидных органов и костного мозга </w:t>
      </w:r>
      <w:r w:rsidR="005968FB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были проведены у человека с использованием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циклоспорина для профилактики и лечения отторжения и реакции «трансплантат против хозяина». Циклоспорин успешно применяется при трансплантации печени пациентам с положительными и отрицательными показателями на вирус гепатита C (ВГС). Благоприятное воздействие терапии циклоспорином также продемонстрировано при различных состояниях известного или подозреваемого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аутоимунного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происхождения.</w:t>
      </w:r>
    </w:p>
    <w:p w14:paraId="1EBAF59E" w14:textId="77777777" w:rsidR="009C775F" w:rsidRPr="00A80EE6" w:rsidRDefault="009C775F" w:rsidP="00C737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Дети и подростки </w:t>
      </w:r>
    </w:p>
    <w:p w14:paraId="056D7090" w14:textId="77777777" w:rsidR="009C775F" w:rsidRPr="00A80EE6" w:rsidRDefault="009C775F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Циклоспорин эффективен при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стероидозависимом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нефротическом синдроме.</w:t>
      </w:r>
    </w:p>
    <w:p w14:paraId="528406B3" w14:textId="77777777" w:rsidR="00DE0525" w:rsidRPr="00A80EE6" w:rsidRDefault="00DE0525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E01D852" w14:textId="77777777" w:rsidR="002F25E3" w:rsidRPr="00A80EE6" w:rsidRDefault="002F25E3" w:rsidP="00C737E9">
      <w:pPr>
        <w:spacing w:after="0" w:line="240" w:lineRule="auto"/>
        <w:jc w:val="both"/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5.2 Фармакокинетические свойства</w:t>
      </w:r>
    </w:p>
    <w:p w14:paraId="17D48CB8" w14:textId="77777777" w:rsidR="006A3F43" w:rsidRPr="00A80EE6" w:rsidRDefault="006A3F43" w:rsidP="00C737E9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29" w:name="_Hlk135988977"/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Абсорбция</w:t>
      </w:r>
    </w:p>
    <w:p w14:paraId="50273AE5" w14:textId="77777777" w:rsidR="00C54852" w:rsidRPr="00A80EE6" w:rsidRDefault="00C54852" w:rsidP="00C54852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перорального приема препарата </w:t>
      </w:r>
      <w:bookmarkStart w:id="30" w:name="_Hlk135984889"/>
      <w:proofErr w:type="spellStart"/>
      <w:r w:rsidR="002217C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2217C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17C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30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пиковые концентрации циклоспорина в крови достигаются через 1-2 часа. Абсолютная пероральная биодоступность циклоспорина составляет 20-50 %. При приеме циклоспорина с пищей с высоким содержанием жиров наблюдается снижение значений AUC 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max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примерно на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13 % и 33 %. Зависимость между назначенной дозой и экспозицией (AUC) циклоспорина в пределах диапазона терапевтических доз линейная.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Межсубъектная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интрасубъектная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вариабельность значений AUC 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max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составляют примерно 10-20 %. Раствор циклоспорина и мягкие капсулы препарата являются биоэквивалентными. </w:t>
      </w:r>
    </w:p>
    <w:p w14:paraId="0C0B4B0C" w14:textId="77777777" w:rsidR="00C54852" w:rsidRPr="00A80EE6" w:rsidRDefault="00C54852" w:rsidP="00C54852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Применение </w:t>
      </w:r>
      <w:proofErr w:type="spellStart"/>
      <w:r w:rsidR="002217C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2217C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17C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Биорала</w:t>
      </w:r>
      <w:proofErr w:type="spellEnd"/>
      <w:r w:rsidR="002217C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приводит к повышению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max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59% и биодоступности примерно на 29% по сравнению c оригинальной лекарственной формой циклоспорина. Имеющиеся данные показывают, что после перехода 1:1 с оригинальной формы ЛС в виде желатиновых капсул на </w:t>
      </w:r>
      <w:proofErr w:type="spellStart"/>
      <w:r w:rsidR="002217C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2217C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17C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2217C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аналогичных капсулах минимальные концентрации в крови сравнимы и остаются в желаемом терапевтическом диапазоне. </w:t>
      </w:r>
    </w:p>
    <w:p w14:paraId="284AB565" w14:textId="77777777" w:rsidR="00C54852" w:rsidRPr="00A80EE6" w:rsidRDefault="00C54852" w:rsidP="00C54852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Применение </w:t>
      </w:r>
      <w:proofErr w:type="spellStart"/>
      <w:r w:rsidR="002217C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2217C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17C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Биорала</w:t>
      </w:r>
      <w:proofErr w:type="spellEnd"/>
      <w:r w:rsidR="002217CA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улучшает линейность дозы циклоспорина (AUC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B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). Он обеспечивает более постоянный профиль абсорбции с меньшим влиянием сопутствующего приема пищи или суточного ритма, чем оригинальная форма ЛС.</w:t>
      </w:r>
    </w:p>
    <w:bookmarkEnd w:id="29"/>
    <w:p w14:paraId="551DB9B5" w14:textId="77777777" w:rsidR="006A3F43" w:rsidRPr="00A80EE6" w:rsidRDefault="006A3F43" w:rsidP="00C54852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Распределение</w:t>
      </w:r>
    </w:p>
    <w:p w14:paraId="706A42AC" w14:textId="77777777" w:rsidR="006A3F43" w:rsidRPr="00A80EE6" w:rsidRDefault="006A3F43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Циклоспорин распределяется главным образом вне кровеносного русла с величиной кажущегося объема распре</w:t>
      </w:r>
      <w:r w:rsidR="004B1A1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деления 3,5 л/кг. В крови 33–47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% циклоспорина находятся в плазме, 4–9% в лимфоцитах</w:t>
      </w:r>
      <w:r w:rsidR="004B1A1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, 5–12% в гранулоцитах и 41–58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% в эритроцитах. Связывание с белками плазмы (преимущественно липопро</w:t>
      </w:r>
      <w:r w:rsidR="004B1A1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теинами) составляет примерно 90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14:paraId="378CAC3B" w14:textId="77777777" w:rsidR="006A3F43" w:rsidRPr="00A80EE6" w:rsidRDefault="006A3F43" w:rsidP="00C737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Биотрансформация</w:t>
      </w:r>
      <w:proofErr w:type="spellEnd"/>
    </w:p>
    <w:p w14:paraId="2AB83511" w14:textId="77777777" w:rsidR="006A3F43" w:rsidRPr="00A80EE6" w:rsidRDefault="006A3F43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Циклоспорин в значительной степени подвергается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биотрансформации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результате чего образуется примерно 15 метаболитов. Метаболизм главным образом происходит в печени посредством цитохрома P450 3A4 (CYP3A4). Основными путями метаболизма являются моно- и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дигидроксилирование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N-деметилирование в различных положениях молекулы. В настоящее время определено, что все метаболиты циклоспорина имеют интактную исходную пептидную основу. Некоторые метаболиты обладают слабой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иммуносупрессивной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активностью (до 1/10 для препарата в неизмененной форме).</w:t>
      </w:r>
    </w:p>
    <w:p w14:paraId="77D89AA6" w14:textId="77777777" w:rsidR="006A3F43" w:rsidRPr="00A80EE6" w:rsidRDefault="006A3F43" w:rsidP="00C737E9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Элиминация</w:t>
      </w:r>
    </w:p>
    <w:p w14:paraId="4BB1CB77" w14:textId="06CC9D9F" w:rsidR="00AA6BBC" w:rsidRPr="00A80EE6" w:rsidRDefault="00AA6BBC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Препарат выводится преимущественно с желчью, и только 6% введенной перорально дозы выводится с мочой (в неизмененном виде выводится только </w:t>
      </w:r>
      <w:r w:rsidR="00883BB4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0,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1%). </w:t>
      </w:r>
    </w:p>
    <w:p w14:paraId="7ED76320" w14:textId="77777777" w:rsidR="006A3F43" w:rsidRPr="00A80EE6" w:rsidRDefault="006A3F43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Конечный период полувыведения циклоспорина весьма вариабелен, что зависит от применяемого метода определения и обследуемого контингента больных. Терминальный период полувыведения колеблется от периода около 6,3 часа у здоровых добровольцев до приблизительно 20,4 часа у пациентов с тяжелыми заболеваниями печени</w:t>
      </w:r>
      <w:r w:rsidR="00A45807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(см. раздел 4.2 и 4.4)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 Период полувыведения у пациентов с трансплантированной почкой составил приблизительно 11 часов с диапазоном 4–25 часов.</w:t>
      </w:r>
    </w:p>
    <w:p w14:paraId="2802CD18" w14:textId="77777777" w:rsidR="006A3F43" w:rsidRPr="00A80EE6" w:rsidRDefault="006A3F43" w:rsidP="00C737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Особые группы пациентов</w:t>
      </w:r>
    </w:p>
    <w:p w14:paraId="0E82DEF9" w14:textId="77777777" w:rsidR="006A3F43" w:rsidRPr="00A80EE6" w:rsidRDefault="006A3F43" w:rsidP="00C737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Пациенты с почечной недостаточностью</w:t>
      </w:r>
    </w:p>
    <w:p w14:paraId="4DB0B459" w14:textId="77777777" w:rsidR="006A3F43" w:rsidRPr="00A80EE6" w:rsidRDefault="006A3F43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В исследовании пациентов с терминальной стадией хронической почечной недостаточности системный клиренс составил приблизительно 2/3 от среднего системного клиренса у пациентов с нормальной функцией почек. Диализом в</w:t>
      </w:r>
      <w:r w:rsidR="004B1A10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ыводится менее 1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% введенной дозы.</w:t>
      </w:r>
    </w:p>
    <w:p w14:paraId="0F039586" w14:textId="77777777" w:rsidR="006A3F43" w:rsidRPr="00A80EE6" w:rsidRDefault="006A3F43" w:rsidP="00C737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Пациенты с печеночной недостаточностью</w:t>
      </w:r>
    </w:p>
    <w:p w14:paraId="178BEB55" w14:textId="2D153737" w:rsidR="006A3F43" w:rsidRPr="00A80EE6" w:rsidRDefault="006A3F43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У пациентов с нарушенной функцией печени может наблюдаться увеличение экспозиции циклоспорина приблизительно в 2–3 раза. В исследовании пациентов с тяжелыми заболеваниями печени и с циррозом, подтвержденным биопсией, период полувыведения составил 20,4 часа (диапазон 10,8–48,0</w:t>
      </w:r>
      <w:r w:rsidR="007156D1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) в сравнении с показателями 7,4–11,0 часов у здоровых субъектов.</w:t>
      </w:r>
    </w:p>
    <w:p w14:paraId="6DCFD173" w14:textId="77777777" w:rsidR="006A3F43" w:rsidRPr="00A80EE6" w:rsidRDefault="006A3F43" w:rsidP="00C737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Дети</w:t>
      </w:r>
    </w:p>
    <w:p w14:paraId="58A3241C" w14:textId="77777777" w:rsidR="006A3F43" w:rsidRPr="00A80EE6" w:rsidRDefault="006A3F43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Данные фармакокинетики пациентов педиатрической популяции при приеме препарата </w:t>
      </w:r>
      <w:r w:rsidR="00901ABD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циклоспорина</w:t>
      </w:r>
      <w:r w:rsidR="00DE0525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крайне ограничены. У 15 пациентов в возрасте 3–16 лет, перенесших трансплантацию почки, показатели клиренса циклоспорина из цельной крови после внутривенного введения препарата </w:t>
      </w:r>
      <w:proofErr w:type="spellStart"/>
      <w:r w:rsidR="00DE0525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DE0525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DE0525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DE0525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составили 10,6 ± 3,7 мл/мин/кг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(анализ: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радиоиммунологический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 для мониторинга уровня циклоспорина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Cyclo-trac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У 7 пациентов в возрасте 2–16 лет, перенесших трансплантацию почки, клиренс циклоспорина составил 9,8–15,5 мл/мин/кг. У 9 пациентов в возрасте 0,65–6 лет, перенесших трансплантацию, клиренс циклоспорина составил 9,3 ± 5,4 мл/мин/кг (анализ: высокоэффективная жидкостная хроматография (ВЭЖХ)). При выполнении сравнения биодоступности препаратов у взрослых пациентов, перенесших трансплантацию, различная биодоступность препаратов </w:t>
      </w:r>
      <w:proofErr w:type="spellStart"/>
      <w:r w:rsidR="00DE0525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Панимун</w:t>
      </w:r>
      <w:proofErr w:type="spellEnd"/>
      <w:r w:rsidR="00DE0525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DE0525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Биорал</w:t>
      </w:r>
      <w:proofErr w:type="spellEnd"/>
      <w:r w:rsidR="00DE0525" w:rsidRPr="00A80E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у пациентов педиатрической популяции сравнима с показателями, полученными для взрослых пациентов.</w:t>
      </w:r>
    </w:p>
    <w:p w14:paraId="05AD1F6A" w14:textId="77777777" w:rsidR="00DC641D" w:rsidRPr="00A80EE6" w:rsidRDefault="00DC641D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99428B" w14:textId="057BC0A5" w:rsidR="00760D97" w:rsidRPr="00A80EE6" w:rsidRDefault="004F56ED" w:rsidP="00C737E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5.3 </w:t>
      </w:r>
      <w:r w:rsidRPr="00A80EE6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Данные доклинической безопасности</w:t>
      </w:r>
    </w:p>
    <w:p w14:paraId="24ABCFBD" w14:textId="5AD5D2BF" w:rsidR="002B3561" w:rsidRPr="00A80EE6" w:rsidRDefault="002B3561" w:rsidP="002B3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</w:pPr>
      <w:r w:rsidRPr="00A80EE6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  <w:t xml:space="preserve">Циклоспорин не оказывал тератогенного действия при пероральном введении крысам и кроликам (до 300 мг/кг/сутки). Однако препарат проявлял </w:t>
      </w:r>
      <w:proofErr w:type="spellStart"/>
      <w:r w:rsidRPr="00A80EE6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  <w:t>эмбрио</w:t>
      </w:r>
      <w:proofErr w:type="spellEnd"/>
      <w:r w:rsidRPr="00A80EE6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  <w:t xml:space="preserve">- и </w:t>
      </w:r>
      <w:proofErr w:type="spellStart"/>
      <w:r w:rsidRPr="00A80EE6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  <w:t>фетотоксичность</w:t>
      </w:r>
      <w:proofErr w:type="spellEnd"/>
      <w:r w:rsidRPr="00A80EE6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  <w:t>, что выражалось в снижении массы плодов и сопутствующей задержке развития скелета. Уровни, при которых не наблюдалось побочного действия (NOEL), были ниже максимальной рекомендованной дозы для человека (MRHD), рассчитанной на основе площади поверхности тела (BSA).</w:t>
      </w:r>
    </w:p>
    <w:p w14:paraId="23DAC249" w14:textId="74468452" w:rsidR="002B3561" w:rsidRPr="00A80EE6" w:rsidRDefault="002B3561" w:rsidP="002B3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</w:pPr>
      <w:r w:rsidRPr="00A80EE6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  <w:t>У беременных крыс, получавших циклоспорин внутривенно в дозах 6 и 12 мг/кг/сутки (ниже MRHD по BSA), было зарегистрировано повышенное количество плодов с дефектами межжелудочковой перегородки.</w:t>
      </w:r>
    </w:p>
    <w:p w14:paraId="5D58F5E4" w14:textId="010D6B73" w:rsidR="002B3561" w:rsidRPr="00A80EE6" w:rsidRDefault="002B3561" w:rsidP="002B3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</w:pPr>
      <w:r w:rsidRPr="00A80EE6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  <w:t>В двух опубликованных исследованиях у кроликов, подвергшихся внутриутробному воздействию циклоспорина (10 мг/кг/сутки подкожно), наблюдалось снижение количества нефронов, гипертрофия почек, системная гипертензия и прогрессирующая почечная недостаточность до возраста 35 недель. Эти результаты не были воспроизведены у других видов животных, а их значимость для человека остаётся неизвестной.</w:t>
      </w:r>
    </w:p>
    <w:p w14:paraId="39C87491" w14:textId="2BA101FB" w:rsidR="002B3561" w:rsidRPr="00A80EE6" w:rsidRDefault="002B3561" w:rsidP="002B3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</w:pPr>
      <w:r w:rsidRPr="00A80EE6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  <w:t>В исследовании перинатального и постнатального развития у крыс циклоспорин вызывал повышение дородовой и послеродовой смертности потомства, а также снижение прибавки массы тела у выживших детёнышей при наивысшей дозе 45 мг/кг/сутки. NOEL также был ниже MRHD, рассчитанной по BSA.</w:t>
      </w:r>
    </w:p>
    <w:p w14:paraId="01AC6640" w14:textId="5B281456" w:rsidR="002B3561" w:rsidRPr="00A80EE6" w:rsidRDefault="002B3561" w:rsidP="002B3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</w:pPr>
      <w:r w:rsidRPr="00A80EE6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  <w:t>В исследовании фертильности у крыс не было выявлено негативного влияния на репродуктивную функцию у самцов и самок при применении циклоспорина в дозах до 15 мг/кг/сутки (ниже MRHD на основе BSA).</w:t>
      </w:r>
    </w:p>
    <w:p w14:paraId="703B8805" w14:textId="11007F80" w:rsidR="002B3561" w:rsidRPr="00A80EE6" w:rsidRDefault="002B3561" w:rsidP="002B3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</w:pPr>
      <w:r w:rsidRPr="00A80EE6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  <w:t xml:space="preserve">Циклоспорин исследовался в ряде </w:t>
      </w:r>
      <w:proofErr w:type="spellStart"/>
      <w:r w:rsidRPr="00A80EE6">
        <w:rPr>
          <w:rFonts w:ascii="Times New Roman" w:eastAsia="TimesNewRomanPSMT" w:hAnsi="Times New Roman" w:cs="Times New Roman"/>
          <w:bCs/>
          <w:i/>
          <w:iCs/>
          <w:color w:val="000000" w:themeColor="text1"/>
          <w:sz w:val="24"/>
          <w:szCs w:val="24"/>
        </w:rPr>
        <w:t>in</w:t>
      </w:r>
      <w:proofErr w:type="spellEnd"/>
      <w:r w:rsidRPr="00A80EE6">
        <w:rPr>
          <w:rFonts w:ascii="Times New Roman" w:eastAsia="TimesNewRomanPSMT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80EE6">
        <w:rPr>
          <w:rFonts w:ascii="Times New Roman" w:eastAsia="TimesNewRomanPSMT" w:hAnsi="Times New Roman" w:cs="Times New Roman"/>
          <w:bCs/>
          <w:i/>
          <w:iCs/>
          <w:color w:val="000000" w:themeColor="text1"/>
          <w:sz w:val="24"/>
          <w:szCs w:val="24"/>
        </w:rPr>
        <w:t>vitro</w:t>
      </w:r>
      <w:proofErr w:type="spellEnd"/>
      <w:r w:rsidRPr="00A80EE6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A80EE6">
        <w:rPr>
          <w:rFonts w:ascii="Times New Roman" w:eastAsia="TimesNewRomanPSMT" w:hAnsi="Times New Roman" w:cs="Times New Roman"/>
          <w:bCs/>
          <w:i/>
          <w:iCs/>
          <w:color w:val="000000" w:themeColor="text1"/>
          <w:sz w:val="24"/>
          <w:szCs w:val="24"/>
        </w:rPr>
        <w:t>in</w:t>
      </w:r>
      <w:proofErr w:type="spellEnd"/>
      <w:r w:rsidRPr="00A80EE6">
        <w:rPr>
          <w:rFonts w:ascii="Times New Roman" w:eastAsia="TimesNewRomanPSMT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80EE6">
        <w:rPr>
          <w:rFonts w:ascii="Times New Roman" w:eastAsia="TimesNewRomanPSMT" w:hAnsi="Times New Roman" w:cs="Times New Roman"/>
          <w:bCs/>
          <w:i/>
          <w:iCs/>
          <w:color w:val="000000" w:themeColor="text1"/>
          <w:sz w:val="24"/>
          <w:szCs w:val="24"/>
        </w:rPr>
        <w:t>vivo</w:t>
      </w:r>
      <w:proofErr w:type="spellEnd"/>
      <w:r w:rsidRPr="00A80EE6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  <w:t xml:space="preserve"> тестов на </w:t>
      </w:r>
      <w:proofErr w:type="spellStart"/>
      <w:r w:rsidRPr="00A80EE6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  <w:t>генотоксичность</w:t>
      </w:r>
      <w:proofErr w:type="spellEnd"/>
      <w:r w:rsidRPr="00A80EE6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  <w:t>, и не выявил клинически значимого мутагенного потенциала.</w:t>
      </w:r>
    </w:p>
    <w:p w14:paraId="10A69775" w14:textId="04952F6D" w:rsidR="00DC641D" w:rsidRPr="00A80EE6" w:rsidRDefault="002B3561" w:rsidP="002B3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</w:pPr>
      <w:r w:rsidRPr="00A80EE6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  <w:t xml:space="preserve">Канцерогенные исследования проводились на самцах и самках крыс и мышей. В 78-недельном исследовании на мышах при дозах 1, 4 и 16 мг/кг/сутки у самок был зафиксирован статистически значимый рост </w:t>
      </w:r>
      <w:proofErr w:type="spellStart"/>
      <w:r w:rsidRPr="00A80EE6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  <w:t>лимфоцитарных</w:t>
      </w:r>
      <w:proofErr w:type="spellEnd"/>
      <w:r w:rsidRPr="00A80EE6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  <w:t xml:space="preserve"> лимфом, а у самцов в группе со средней дозой — достоверное увеличение частоты гепатоцеллюлярной карциномы по сравнению с контролем. В 24-месячном исследовании на крысах при дозах 0,5, 2 и 8 мг/кг/сутки частота аденом островковых клеток поджелудочной железы при низкой дозе значимо превышала контрольные значения. Частота возникновения гепатоцеллюлярной карциномы и аденом островковых клеток не зависела от дозы.</w:t>
      </w:r>
    </w:p>
    <w:p w14:paraId="6A4916E7" w14:textId="77777777" w:rsidR="002B3561" w:rsidRPr="00A80EE6" w:rsidRDefault="002B3561" w:rsidP="002B3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0D1302" w14:textId="77777777" w:rsidR="004F56ED" w:rsidRPr="00A80EE6" w:rsidRDefault="004F56ED" w:rsidP="00C737E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Pr="00A80EE6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ФАРМАЦЕВТИЧЕСКИЕ СВОЙСТВА</w:t>
      </w:r>
    </w:p>
    <w:p w14:paraId="2A9F13B6" w14:textId="77777777" w:rsidR="006A5D65" w:rsidRPr="00A80EE6" w:rsidRDefault="004F56ED" w:rsidP="00C737E9">
      <w:pPr>
        <w:autoSpaceDE w:val="0"/>
        <w:autoSpaceDN w:val="0"/>
        <w:adjustRightInd w:val="0"/>
        <w:spacing w:after="0" w:line="240" w:lineRule="auto"/>
        <w:rPr>
          <w:rStyle w:val="hps"/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6.1 </w:t>
      </w:r>
      <w:r w:rsidRPr="00A80EE6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Перечень вспомогательных веществ</w:t>
      </w:r>
    </w:p>
    <w:p w14:paraId="6BAE67A3" w14:textId="77777777" w:rsidR="004769A2" w:rsidRPr="00CB5C1A" w:rsidRDefault="004769A2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CB5C1A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состав растворителя: </w:t>
      </w:r>
    </w:p>
    <w:p w14:paraId="33C3FABE" w14:textId="5935453F" w:rsidR="00CE57F1" w:rsidRPr="00A80EE6" w:rsidRDefault="00CE57F1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пропиленгликоль</w:t>
      </w:r>
    </w:p>
    <w:p w14:paraId="00772BC3" w14:textId="77777777" w:rsidR="00CE57F1" w:rsidRPr="00A80EE6" w:rsidRDefault="00CE57F1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полиоксил</w:t>
      </w:r>
      <w:proofErr w:type="spellEnd"/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40 гидрогенизированное касторовое масло</w:t>
      </w:r>
    </w:p>
    <w:p w14:paraId="76D6780E" w14:textId="6D93C221" w:rsidR="00CE57F1" w:rsidRPr="00A80EE6" w:rsidRDefault="00CE57F1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пропиленгликоль </w:t>
      </w:r>
      <w:proofErr w:type="spellStart"/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монолаурат</w:t>
      </w:r>
      <w:proofErr w:type="spellEnd"/>
      <w:r w:rsidR="00B74B14"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B74B14"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II</w:t>
      </w:r>
    </w:p>
    <w:p w14:paraId="1CC8B557" w14:textId="1D44B1EE" w:rsidR="00CE57F1" w:rsidRPr="00CB5C1A" w:rsidRDefault="00CE57F1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CB5C1A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состав желатиновой капсулы</w:t>
      </w:r>
      <w:r w:rsidR="00B74B14" w:rsidRPr="00CB5C1A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14:paraId="5AE17A2F" w14:textId="77777777" w:rsidR="00CE57F1" w:rsidRPr="00A80EE6" w:rsidRDefault="00CE57F1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желатин</w:t>
      </w:r>
    </w:p>
    <w:p w14:paraId="17194407" w14:textId="37C24ED9" w:rsidR="00CE57F1" w:rsidRPr="00A80EE6" w:rsidRDefault="00CE57F1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lastRenderedPageBreak/>
        <w:t>желатин с низкой молекулярной массой</w:t>
      </w:r>
      <w:r w:rsidR="00B74B14"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(BYCO A)</w:t>
      </w:r>
    </w:p>
    <w:p w14:paraId="20B3380F" w14:textId="6C8518AC" w:rsidR="00B74B14" w:rsidRPr="00A80EE6" w:rsidRDefault="00B74B14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натрия </w:t>
      </w:r>
      <w:proofErr w:type="spellStart"/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мальтитол</w:t>
      </w:r>
      <w:proofErr w:type="spellEnd"/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02E3CF78" w14:textId="2D9AA4DB" w:rsidR="00CE57F1" w:rsidRPr="00A80EE6" w:rsidRDefault="00CE57F1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глицерин</w:t>
      </w:r>
    </w:p>
    <w:p w14:paraId="789AF1A7" w14:textId="1CCACBAF" w:rsidR="00CE57F1" w:rsidRDefault="00CE57F1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вода очищенная</w:t>
      </w:r>
    </w:p>
    <w:p w14:paraId="0BAECED9" w14:textId="77777777" w:rsidR="004769A2" w:rsidRPr="00A80EE6" w:rsidRDefault="004769A2" w:rsidP="004769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железа оксид красный (Е 172)</w:t>
      </w:r>
    </w:p>
    <w:p w14:paraId="0101351D" w14:textId="202BBCFD" w:rsidR="004769A2" w:rsidRPr="00A80EE6" w:rsidRDefault="004769A2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железа оксид черный (Е 172) (для дозировки 50 мг)</w:t>
      </w:r>
    </w:p>
    <w:p w14:paraId="1439197E" w14:textId="543B1AFA" w:rsidR="00B74B14" w:rsidRPr="00A80EE6" w:rsidRDefault="002710A3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</w:t>
      </w:r>
      <w:r w:rsidR="00B74B14"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оевое масло</w:t>
      </w:r>
    </w:p>
    <w:p w14:paraId="69B31045" w14:textId="4148339B" w:rsidR="00B74B14" w:rsidRPr="00A80EE6" w:rsidRDefault="00B74B14" w:rsidP="00B74B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опакод</w:t>
      </w:r>
      <w:proofErr w:type="spellEnd"/>
      <w:r w:rsidRPr="00A80EE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WB (белый):</w:t>
      </w:r>
    </w:p>
    <w:p w14:paraId="6D380117" w14:textId="4E83758B" w:rsidR="00B74B14" w:rsidRPr="00A80EE6" w:rsidRDefault="00B74B14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SDA 35A спирт (этанол)</w:t>
      </w:r>
    </w:p>
    <w:p w14:paraId="33370497" w14:textId="48FE045C" w:rsidR="00B74B14" w:rsidRDefault="00B74B14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этилацетат</w:t>
      </w:r>
    </w:p>
    <w:p w14:paraId="53FA1E14" w14:textId="5D35178D" w:rsidR="004769A2" w:rsidRPr="00A80EE6" w:rsidRDefault="004769A2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титана диоксид (Е 171)</w:t>
      </w:r>
    </w:p>
    <w:p w14:paraId="7D156BC8" w14:textId="09F092AF" w:rsidR="00B74B14" w:rsidRPr="00A80EE6" w:rsidRDefault="00B74B14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пропиленгликоль (Е 1520)</w:t>
      </w:r>
    </w:p>
    <w:p w14:paraId="18735368" w14:textId="5286D178" w:rsidR="00B74B14" w:rsidRPr="00A80EE6" w:rsidRDefault="00B74B14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поливинилацетата </w:t>
      </w:r>
      <w:proofErr w:type="spellStart"/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фталат</w:t>
      </w:r>
      <w:proofErr w:type="spellEnd"/>
    </w:p>
    <w:p w14:paraId="191EC1B0" w14:textId="3600F71D" w:rsidR="00B74B14" w:rsidRPr="00A80EE6" w:rsidRDefault="00B74B14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вода очищенная</w:t>
      </w:r>
    </w:p>
    <w:p w14:paraId="5E14DD1D" w14:textId="48C5E829" w:rsidR="00B74B14" w:rsidRPr="00A80EE6" w:rsidRDefault="00B74B14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изопропиловый спирт</w:t>
      </w:r>
    </w:p>
    <w:p w14:paraId="6B6842E9" w14:textId="44736269" w:rsidR="00B74B14" w:rsidRPr="00A80EE6" w:rsidRDefault="00B74B14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макрогол</w:t>
      </w:r>
      <w:proofErr w:type="spellEnd"/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/ПЭГ (Е 1521)     </w:t>
      </w:r>
    </w:p>
    <w:p w14:paraId="72A6CBF9" w14:textId="278943C0" w:rsidR="00B74B14" w:rsidRPr="00A80EE6" w:rsidRDefault="00B74B14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раствор аммония гидроксида (Е 527)</w:t>
      </w:r>
    </w:p>
    <w:p w14:paraId="6EF0A70E" w14:textId="75C52780" w:rsidR="00B74B14" w:rsidRPr="00A80EE6" w:rsidRDefault="00B74B14" w:rsidP="00B3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стеариновая кислота</w:t>
      </w:r>
    </w:p>
    <w:p w14:paraId="2CD41FEC" w14:textId="77777777" w:rsidR="000E2B75" w:rsidRPr="00A80EE6" w:rsidRDefault="000E2B75" w:rsidP="00C73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D96E5C" w14:textId="77777777" w:rsidR="006A5D65" w:rsidRPr="00A80EE6" w:rsidRDefault="006A5D65" w:rsidP="00C737E9">
      <w:pPr>
        <w:spacing w:after="0" w:line="240" w:lineRule="auto"/>
        <w:jc w:val="both"/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="001610CD" w:rsidRPr="00A80EE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12040C" w:rsidRPr="00A80EE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80EE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Н</w:t>
      </w:r>
      <w:r w:rsidR="001610CD" w:rsidRPr="00A80EE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есовместимост</w:t>
      </w:r>
      <w:r w:rsidR="00C45F54" w:rsidRPr="00A80EE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ь</w:t>
      </w:r>
    </w:p>
    <w:p w14:paraId="106BA028" w14:textId="77777777" w:rsidR="006A5D65" w:rsidRPr="00A80EE6" w:rsidRDefault="006A5D65" w:rsidP="00C737E9">
      <w:pPr>
        <w:spacing w:after="0" w:line="240" w:lineRule="auto"/>
        <w:jc w:val="both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Нет никаких данных о несовместимости</w:t>
      </w:r>
      <w:r w:rsidR="000E2B75" w:rsidRPr="00A80EE6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EBE51E" w14:textId="77777777" w:rsidR="000E2B75" w:rsidRPr="00A80EE6" w:rsidRDefault="000E2B75" w:rsidP="00C737E9">
      <w:pPr>
        <w:spacing w:after="0" w:line="240" w:lineRule="auto"/>
        <w:jc w:val="both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C1676B" w14:textId="77777777" w:rsidR="004F56ED" w:rsidRPr="00A80EE6" w:rsidRDefault="006A5D65" w:rsidP="00C737E9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="001610CD" w:rsidRPr="00A80EE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4D7AEE" w:rsidRPr="00A80EE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C061A" w:rsidRPr="00A80EE6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Срок годности</w:t>
      </w:r>
    </w:p>
    <w:p w14:paraId="5DA96490" w14:textId="77777777" w:rsidR="006A5D65" w:rsidRPr="00A80EE6" w:rsidRDefault="00A5598C" w:rsidP="00C737E9">
      <w:pPr>
        <w:spacing w:after="0" w:line="240" w:lineRule="auto"/>
        <w:jc w:val="both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D7AEE" w:rsidRPr="00A80EE6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26CC" w:rsidRPr="00A80EE6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года</w:t>
      </w:r>
    </w:p>
    <w:p w14:paraId="4683C958" w14:textId="77777777" w:rsidR="003C061A" w:rsidRPr="00A80EE6" w:rsidRDefault="004F56ED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Не применять по истечении срока годности.</w:t>
      </w:r>
    </w:p>
    <w:p w14:paraId="48D0176D" w14:textId="77777777" w:rsidR="000E2B75" w:rsidRPr="00A80EE6" w:rsidRDefault="000E2B75" w:rsidP="00C737E9">
      <w:pPr>
        <w:spacing w:after="0" w:line="240" w:lineRule="auto"/>
        <w:jc w:val="both"/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721F7DFF" w14:textId="77777777" w:rsidR="005178B5" w:rsidRPr="00A80EE6" w:rsidRDefault="006A5D65" w:rsidP="00C737E9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="001610CD" w:rsidRPr="00A80EE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4D7AEE" w:rsidRPr="00A80EE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78B5" w:rsidRPr="00A80EE6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Особые меры предосторожности при хранении</w:t>
      </w:r>
    </w:p>
    <w:p w14:paraId="3D3191D4" w14:textId="364DA629" w:rsidR="002604B7" w:rsidRPr="00A80EE6" w:rsidRDefault="002604B7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Хранить при температуре не выше </w:t>
      </w:r>
      <w:r w:rsidR="00D50FA7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341E69"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ºС. </w:t>
      </w:r>
    </w:p>
    <w:p w14:paraId="31B444F6" w14:textId="77777777" w:rsidR="003C061A" w:rsidRPr="00A80EE6" w:rsidRDefault="002604B7" w:rsidP="00C737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Хранить в недоступном для детей месте!</w:t>
      </w:r>
    </w:p>
    <w:p w14:paraId="6BC66E20" w14:textId="77777777" w:rsidR="000E2B75" w:rsidRPr="00A80EE6" w:rsidRDefault="000E2B75" w:rsidP="00C737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367BBCE2" w14:textId="77777777" w:rsidR="005178B5" w:rsidRPr="00A80EE6" w:rsidRDefault="006A5D65" w:rsidP="00C737E9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="001610CD" w:rsidRPr="00A80EE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2604B7" w:rsidRPr="00A80EE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44259" w:rsidRPr="00A80EE6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Форма выпуска и упаковка</w:t>
      </w:r>
    </w:p>
    <w:p w14:paraId="5E0BB06C" w14:textId="520DD48F" w:rsidR="00764BDF" w:rsidRPr="00A80EE6" w:rsidRDefault="00764BDF" w:rsidP="00764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Hlk195787047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По 6 капсул в алюминиевый блистер холодного ламинирования.</w:t>
      </w:r>
    </w:p>
    <w:p w14:paraId="5C5B613F" w14:textId="1CB6DEA8" w:rsidR="000E2B75" w:rsidRDefault="00764BDF" w:rsidP="00764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По 5 блистеров вместе с инструкцией по медицинскому применению на казахском и русском языках помещают в пачку из картона.</w:t>
      </w:r>
    </w:p>
    <w:p w14:paraId="2E889F89" w14:textId="77777777" w:rsidR="00377B90" w:rsidRPr="00A80EE6" w:rsidRDefault="00377B90" w:rsidP="00764BDF">
      <w:pPr>
        <w:shd w:val="clear" w:color="auto" w:fill="FFFFFF"/>
        <w:spacing w:after="0" w:line="240" w:lineRule="auto"/>
        <w:jc w:val="both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31"/>
    <w:p w14:paraId="38AEA2A0" w14:textId="416743C6" w:rsidR="00444259" w:rsidRPr="00A80EE6" w:rsidRDefault="006A5D65" w:rsidP="00C7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="001610CD" w:rsidRPr="00A80EE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341E69" w:rsidRPr="00A80EE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78B5" w:rsidRPr="00A80EE6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Особые меры предосторожности при уничтожении использованного</w:t>
      </w:r>
      <w:r w:rsidR="00341E69" w:rsidRPr="00A80EE6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78B5" w:rsidRPr="00A80EE6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лекарственного препарата или отходов, полученных после применения</w:t>
      </w:r>
      <w:r w:rsidR="00341E69" w:rsidRPr="00A80EE6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44259" w:rsidRPr="00A80EE6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лекарственного препарата или работы с ним</w:t>
      </w:r>
    </w:p>
    <w:p w14:paraId="1EA1ADD1" w14:textId="77777777" w:rsidR="003C061A" w:rsidRPr="00A80EE6" w:rsidRDefault="005178B5" w:rsidP="00C737E9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Особые требования отсутствуют</w:t>
      </w:r>
    </w:p>
    <w:p w14:paraId="2538DF33" w14:textId="64E127DF" w:rsidR="00764BDF" w:rsidRPr="00A80EE6" w:rsidRDefault="00764BDF" w:rsidP="00C737E9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Неиспользованный лекарственный препарат или отходы следует утилизировать в соответствии с местными требованиями.</w:t>
      </w:r>
    </w:p>
    <w:p w14:paraId="2CC3891A" w14:textId="77777777" w:rsidR="00764BDF" w:rsidRPr="00A80EE6" w:rsidRDefault="00764BDF" w:rsidP="00C737E9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14:paraId="01F1AB08" w14:textId="77777777" w:rsidR="004F56ED" w:rsidRPr="00A80EE6" w:rsidRDefault="004F56ED" w:rsidP="00C73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6.7 Условия отпуска из аптек </w:t>
      </w:r>
    </w:p>
    <w:p w14:paraId="2F3AF905" w14:textId="77777777" w:rsidR="00637960" w:rsidRPr="00A80EE6" w:rsidRDefault="004F56ED" w:rsidP="00C737E9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рецепту</w:t>
      </w:r>
    </w:p>
    <w:p w14:paraId="0470079E" w14:textId="77777777" w:rsidR="00DE0525" w:rsidRPr="00A80EE6" w:rsidRDefault="00DE0525" w:rsidP="00C737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58E0F7DD" w14:textId="77777777" w:rsidR="00D23ACF" w:rsidRPr="00A80EE6" w:rsidRDefault="00D23ACF" w:rsidP="00C737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7. ДЕРЖАТЕЛЬ</w:t>
      </w:r>
      <w:r w:rsidRPr="00A8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РЕГИСТРАЦИОННОГО УДОСТОВЕРЕНИЯ</w:t>
      </w:r>
    </w:p>
    <w:p w14:paraId="4991AD5B" w14:textId="77777777" w:rsidR="00D43F29" w:rsidRPr="00A80EE6" w:rsidRDefault="00D43F29" w:rsidP="00D43F29">
      <w:pPr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Panacea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Biotec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Pharma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Ltd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</w:p>
    <w:p w14:paraId="74B44E41" w14:textId="77777777" w:rsidR="00D43F29" w:rsidRPr="00A80EE6" w:rsidRDefault="00D43F29" w:rsidP="00D43F29">
      <w:pPr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Malpur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Baddi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Малпур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Бадди,</w:t>
      </w:r>
    </w:p>
    <w:p w14:paraId="442AF76B" w14:textId="77777777" w:rsidR="00D43F29" w:rsidRPr="00A80EE6" w:rsidRDefault="00D43F29" w:rsidP="00D43F29">
      <w:pPr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Distt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Solan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173205, Индия</w:t>
      </w:r>
    </w:p>
    <w:p w14:paraId="46F9BA7A" w14:textId="77777777" w:rsidR="00D43F29" w:rsidRPr="00A80EE6" w:rsidRDefault="00D43F29" w:rsidP="00D43F29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7573BBF3" w14:textId="77777777" w:rsidR="001235CA" w:rsidRPr="00A80EE6" w:rsidRDefault="001235CA" w:rsidP="00C737E9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A8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7.1 ПРЕДСТАВИТЕЛЬ ДЕРЖАТЕЛЯ РЕГИСТРАЦИОННОГО УДОСТОВЕРЕНИЯ</w:t>
      </w:r>
    </w:p>
    <w:p w14:paraId="73FE4D1D" w14:textId="77777777" w:rsidR="003B789B" w:rsidRPr="00A80EE6" w:rsidRDefault="003B789B" w:rsidP="003B789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Претензии потребителей направлять по адресу:</w:t>
      </w:r>
    </w:p>
    <w:p w14:paraId="7DE14AD7" w14:textId="77777777" w:rsidR="003B789B" w:rsidRPr="00A80EE6" w:rsidRDefault="003B789B" w:rsidP="003B789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ТОО «Rogers Pharma», Казахстан, 050043, г. Алматы, мкн.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Мирас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д. 157, </w:t>
      </w:r>
      <w:proofErr w:type="spellStart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н.п</w:t>
      </w:r>
      <w:proofErr w:type="spellEnd"/>
      <w:r w:rsidRPr="00A80EE6">
        <w:rPr>
          <w:rFonts w:ascii="Times New Roman" w:hAnsi="Times New Roman" w:cs="Times New Roman"/>
          <w:color w:val="000000" w:themeColor="text1"/>
          <w:sz w:val="24"/>
          <w:szCs w:val="24"/>
        </w:rPr>
        <w:t>. 819. Тел.</w:t>
      </w:r>
    </w:p>
    <w:p w14:paraId="47011D4E" w14:textId="77777777" w:rsidR="00D23ACF" w:rsidRPr="00A80EE6" w:rsidRDefault="00617123" w:rsidP="003B789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80E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+7 </w:t>
      </w:r>
      <w:r w:rsidR="003B789B" w:rsidRPr="00A80E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(727) 311-81-96/97, e-mail: </w:t>
      </w:r>
      <w:hyperlink r:id="rId9" w:history="1">
        <w:r w:rsidR="003B789B" w:rsidRPr="00A80EE6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office.secretary@rogersgroup.in</w:t>
        </w:r>
      </w:hyperlink>
    </w:p>
    <w:p w14:paraId="10CE1547" w14:textId="77777777" w:rsidR="003B789B" w:rsidRPr="00A80EE6" w:rsidRDefault="003B789B" w:rsidP="003B78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D12F366" w14:textId="77777777" w:rsidR="00804FBF" w:rsidRPr="00A80EE6" w:rsidRDefault="00D23ACF" w:rsidP="003B789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8. НОМЕР РЕГИСТРАЦИОННОГО УДОСТОВЕРЕНИЯ</w:t>
      </w:r>
    </w:p>
    <w:p w14:paraId="6B106924" w14:textId="77777777" w:rsidR="003B789B" w:rsidRPr="00A80EE6" w:rsidRDefault="003B789B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F9E8927" w14:textId="77777777" w:rsidR="00D23ACF" w:rsidRPr="00A80EE6" w:rsidRDefault="00D23ACF" w:rsidP="00C737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A8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9. ДАТА ПЕРВИЧНОЙ РЕГИСТРАЦИИ (ПОДТВЕРЖДЕНИЯ РЕГИСТРАЦИИ, ПЕРЕРЕГИСТРАЦИИ)</w:t>
      </w:r>
    </w:p>
    <w:p w14:paraId="30009FC5" w14:textId="77777777" w:rsidR="003B789B" w:rsidRPr="00A80EE6" w:rsidRDefault="003B789B" w:rsidP="00C73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FE131F" w14:textId="77777777" w:rsidR="00D23ACF" w:rsidRPr="00A80EE6" w:rsidRDefault="00D23ACF" w:rsidP="00C737E9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A80E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10. </w:t>
      </w:r>
      <w:r w:rsidRPr="00A80EE6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Дата пересмотра текста </w:t>
      </w:r>
    </w:p>
    <w:p w14:paraId="08305BD7" w14:textId="77777777" w:rsidR="00A6408B" w:rsidRPr="00A80EE6" w:rsidRDefault="00A6408B" w:rsidP="00C737E9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14:paraId="423FF6D6" w14:textId="77777777" w:rsidR="00D23ACF" w:rsidRPr="000E2B75" w:rsidRDefault="00D23ACF" w:rsidP="00C737E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bidi="ru-RU"/>
        </w:rPr>
      </w:pPr>
      <w:r w:rsidRPr="00A80EE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Общая характеристика лекарственного препарата доступна на официальном сайте </w:t>
      </w:r>
      <w:hyperlink r:id="rId10" w:history="1">
        <w:r w:rsidRPr="00A80EE6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http</w:t>
        </w:r>
        <w:r w:rsidRPr="00A80EE6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://</w:t>
        </w:r>
        <w:r w:rsidRPr="00A80EE6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Pr="00A80EE6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A80EE6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ndda</w:t>
        </w:r>
        <w:proofErr w:type="spellEnd"/>
        <w:r w:rsidRPr="00A80EE6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A80EE6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kz</w:t>
        </w:r>
        <w:proofErr w:type="spellEnd"/>
      </w:hyperlink>
    </w:p>
    <w:sectPr w:rsidR="00D23ACF" w:rsidRPr="000E2B75" w:rsidSect="00C737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050E" w14:textId="77777777" w:rsidR="00DA624C" w:rsidRDefault="00DA624C" w:rsidP="003D45B2">
      <w:pPr>
        <w:pStyle w:val="a3"/>
      </w:pPr>
      <w:r>
        <w:separator/>
      </w:r>
    </w:p>
  </w:endnote>
  <w:endnote w:type="continuationSeparator" w:id="0">
    <w:p w14:paraId="331FE43C" w14:textId="77777777" w:rsidR="00DA624C" w:rsidRDefault="00DA624C" w:rsidP="003D45B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D2B8" w14:textId="77777777" w:rsidR="00DA624C" w:rsidRDefault="00DA624C" w:rsidP="003D45B2">
      <w:pPr>
        <w:pStyle w:val="a3"/>
      </w:pPr>
      <w:r>
        <w:separator/>
      </w:r>
    </w:p>
  </w:footnote>
  <w:footnote w:type="continuationSeparator" w:id="0">
    <w:p w14:paraId="2BA654D0" w14:textId="77777777" w:rsidR="00DA624C" w:rsidRDefault="00DA624C" w:rsidP="003D45B2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15120B"/>
    <w:multiLevelType w:val="hybridMultilevel"/>
    <w:tmpl w:val="C3484D12"/>
    <w:lvl w:ilvl="0" w:tplc="354E79C0"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C17B1"/>
    <w:multiLevelType w:val="hybridMultilevel"/>
    <w:tmpl w:val="3F226E9C"/>
    <w:lvl w:ilvl="0" w:tplc="354E79C0"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E5108B"/>
    <w:multiLevelType w:val="hybridMultilevel"/>
    <w:tmpl w:val="8FC0253C"/>
    <w:lvl w:ilvl="0" w:tplc="354E79C0"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F653EB"/>
    <w:multiLevelType w:val="hybridMultilevel"/>
    <w:tmpl w:val="6DDE42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D42EEF"/>
    <w:multiLevelType w:val="hybridMultilevel"/>
    <w:tmpl w:val="7752FB02"/>
    <w:lvl w:ilvl="0" w:tplc="6BA87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C23F5"/>
    <w:multiLevelType w:val="hybridMultilevel"/>
    <w:tmpl w:val="C9CAC8F8"/>
    <w:lvl w:ilvl="0" w:tplc="D32E1C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D00F19E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9769FB"/>
    <w:multiLevelType w:val="hybridMultilevel"/>
    <w:tmpl w:val="2E1EACF6"/>
    <w:lvl w:ilvl="0" w:tplc="3F5613C0">
      <w:start w:val="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46D76"/>
    <w:multiLevelType w:val="hybridMultilevel"/>
    <w:tmpl w:val="366A08A8"/>
    <w:lvl w:ilvl="0" w:tplc="354E79C0"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A55A98"/>
    <w:multiLevelType w:val="hybridMultilevel"/>
    <w:tmpl w:val="7F42899A"/>
    <w:lvl w:ilvl="0" w:tplc="354E79C0"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87437"/>
    <w:multiLevelType w:val="hybridMultilevel"/>
    <w:tmpl w:val="88CA53FC"/>
    <w:lvl w:ilvl="0" w:tplc="D32E1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82B33"/>
    <w:multiLevelType w:val="hybridMultilevel"/>
    <w:tmpl w:val="D852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08BE"/>
    <w:multiLevelType w:val="hybridMultilevel"/>
    <w:tmpl w:val="14B4A91E"/>
    <w:lvl w:ilvl="0" w:tplc="6BA87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9440A"/>
    <w:multiLevelType w:val="hybridMultilevel"/>
    <w:tmpl w:val="E190DA40"/>
    <w:lvl w:ilvl="0" w:tplc="3F5613C0">
      <w:start w:val="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B4EE6"/>
    <w:multiLevelType w:val="hybridMultilevel"/>
    <w:tmpl w:val="4A622586"/>
    <w:lvl w:ilvl="0" w:tplc="D32E1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1772C"/>
    <w:multiLevelType w:val="hybridMultilevel"/>
    <w:tmpl w:val="AC1423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DE0FD4"/>
    <w:multiLevelType w:val="hybridMultilevel"/>
    <w:tmpl w:val="DAB6FFC2"/>
    <w:lvl w:ilvl="0" w:tplc="6FC8C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72615"/>
    <w:multiLevelType w:val="hybridMultilevel"/>
    <w:tmpl w:val="5A3C34C8"/>
    <w:lvl w:ilvl="0" w:tplc="6CC4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913CB"/>
    <w:multiLevelType w:val="hybridMultilevel"/>
    <w:tmpl w:val="2FFE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13BD4"/>
    <w:multiLevelType w:val="hybridMultilevel"/>
    <w:tmpl w:val="2C983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874DD"/>
    <w:multiLevelType w:val="hybridMultilevel"/>
    <w:tmpl w:val="11BA8D7E"/>
    <w:lvl w:ilvl="0" w:tplc="3F5613C0">
      <w:start w:val="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200D2"/>
    <w:multiLevelType w:val="hybridMultilevel"/>
    <w:tmpl w:val="3F84277A"/>
    <w:lvl w:ilvl="0" w:tplc="3F5613C0">
      <w:start w:val="8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7833CB"/>
    <w:multiLevelType w:val="hybridMultilevel"/>
    <w:tmpl w:val="6A7A2F0A"/>
    <w:lvl w:ilvl="0" w:tplc="354E79C0"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D17C6B"/>
    <w:multiLevelType w:val="hybridMultilevel"/>
    <w:tmpl w:val="B3AC50CA"/>
    <w:lvl w:ilvl="0" w:tplc="6BA87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D52C0"/>
    <w:multiLevelType w:val="hybridMultilevel"/>
    <w:tmpl w:val="A8ECF1F8"/>
    <w:lvl w:ilvl="0" w:tplc="354E79C0"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F53E4B"/>
    <w:multiLevelType w:val="hybridMultilevel"/>
    <w:tmpl w:val="23802C3C"/>
    <w:lvl w:ilvl="0" w:tplc="3F5613C0">
      <w:start w:val="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418D5"/>
    <w:multiLevelType w:val="hybridMultilevel"/>
    <w:tmpl w:val="BD8C3594"/>
    <w:lvl w:ilvl="0" w:tplc="3F5613C0">
      <w:start w:val="8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ABC47C3"/>
    <w:multiLevelType w:val="hybridMultilevel"/>
    <w:tmpl w:val="4FCA8E6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D43C2"/>
    <w:multiLevelType w:val="hybridMultilevel"/>
    <w:tmpl w:val="49D87546"/>
    <w:lvl w:ilvl="0" w:tplc="354E79C0"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3"/>
  </w:num>
  <w:num w:numId="5">
    <w:abstractNumId w:val="25"/>
  </w:num>
  <w:num w:numId="6">
    <w:abstractNumId w:val="7"/>
  </w:num>
  <w:num w:numId="7">
    <w:abstractNumId w:val="26"/>
  </w:num>
  <w:num w:numId="8">
    <w:abstractNumId w:val="21"/>
  </w:num>
  <w:num w:numId="9">
    <w:abstractNumId w:val="20"/>
  </w:num>
  <w:num w:numId="10">
    <w:abstractNumId w:val="2"/>
  </w:num>
  <w:num w:numId="11">
    <w:abstractNumId w:val="8"/>
  </w:num>
  <w:num w:numId="12">
    <w:abstractNumId w:val="1"/>
  </w:num>
  <w:num w:numId="13">
    <w:abstractNumId w:val="4"/>
  </w:num>
  <w:num w:numId="14">
    <w:abstractNumId w:val="15"/>
  </w:num>
  <w:num w:numId="15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27"/>
  </w:num>
  <w:num w:numId="17">
    <w:abstractNumId w:val="17"/>
  </w:num>
  <w:num w:numId="18">
    <w:abstractNumId w:val="5"/>
  </w:num>
  <w:num w:numId="19">
    <w:abstractNumId w:val="23"/>
  </w:num>
  <w:num w:numId="20">
    <w:abstractNumId w:val="12"/>
  </w:num>
  <w:num w:numId="21">
    <w:abstractNumId w:val="10"/>
  </w:num>
  <w:num w:numId="22">
    <w:abstractNumId w:val="6"/>
  </w:num>
  <w:num w:numId="23">
    <w:abstractNumId w:val="14"/>
  </w:num>
  <w:num w:numId="24">
    <w:abstractNumId w:val="16"/>
  </w:num>
  <w:num w:numId="25">
    <w:abstractNumId w:val="28"/>
  </w:num>
  <w:num w:numId="26">
    <w:abstractNumId w:val="22"/>
  </w:num>
  <w:num w:numId="27">
    <w:abstractNumId w:val="24"/>
  </w:num>
  <w:num w:numId="28">
    <w:abstractNumId w:val="9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B2"/>
    <w:rsid w:val="00007748"/>
    <w:rsid w:val="00010E03"/>
    <w:rsid w:val="000123F8"/>
    <w:rsid w:val="000138AF"/>
    <w:rsid w:val="00027405"/>
    <w:rsid w:val="00032CE0"/>
    <w:rsid w:val="00033F4F"/>
    <w:rsid w:val="00037CDE"/>
    <w:rsid w:val="00054C2A"/>
    <w:rsid w:val="00054DFD"/>
    <w:rsid w:val="000554ED"/>
    <w:rsid w:val="00056783"/>
    <w:rsid w:val="00062C9B"/>
    <w:rsid w:val="00065E5F"/>
    <w:rsid w:val="0006613D"/>
    <w:rsid w:val="0006659D"/>
    <w:rsid w:val="00066A67"/>
    <w:rsid w:val="000737E7"/>
    <w:rsid w:val="000743FF"/>
    <w:rsid w:val="00074740"/>
    <w:rsid w:val="000847B2"/>
    <w:rsid w:val="00085257"/>
    <w:rsid w:val="000A15E6"/>
    <w:rsid w:val="000A3493"/>
    <w:rsid w:val="000A55BE"/>
    <w:rsid w:val="000A69D1"/>
    <w:rsid w:val="000B1A40"/>
    <w:rsid w:val="000B5C26"/>
    <w:rsid w:val="000B612B"/>
    <w:rsid w:val="000B796C"/>
    <w:rsid w:val="000B7CC0"/>
    <w:rsid w:val="000C08AB"/>
    <w:rsid w:val="000C34A9"/>
    <w:rsid w:val="000D38B1"/>
    <w:rsid w:val="000D56BB"/>
    <w:rsid w:val="000D626E"/>
    <w:rsid w:val="000D7BCC"/>
    <w:rsid w:val="000E0846"/>
    <w:rsid w:val="000E2B75"/>
    <w:rsid w:val="000E2C4C"/>
    <w:rsid w:val="000E4562"/>
    <w:rsid w:val="000E5487"/>
    <w:rsid w:val="000E64B8"/>
    <w:rsid w:val="000E694C"/>
    <w:rsid w:val="000F3671"/>
    <w:rsid w:val="000F7D3D"/>
    <w:rsid w:val="001001B0"/>
    <w:rsid w:val="00100E1D"/>
    <w:rsid w:val="001015B2"/>
    <w:rsid w:val="00105C57"/>
    <w:rsid w:val="001153CD"/>
    <w:rsid w:val="00115CEC"/>
    <w:rsid w:val="0012040C"/>
    <w:rsid w:val="001235CA"/>
    <w:rsid w:val="001308E2"/>
    <w:rsid w:val="00134CF2"/>
    <w:rsid w:val="00137431"/>
    <w:rsid w:val="00137EA4"/>
    <w:rsid w:val="00141A3F"/>
    <w:rsid w:val="00142B3F"/>
    <w:rsid w:val="00146FB7"/>
    <w:rsid w:val="0015463F"/>
    <w:rsid w:val="001574D4"/>
    <w:rsid w:val="00157B55"/>
    <w:rsid w:val="001610CD"/>
    <w:rsid w:val="00166BAC"/>
    <w:rsid w:val="0017384A"/>
    <w:rsid w:val="00173EFB"/>
    <w:rsid w:val="00176656"/>
    <w:rsid w:val="00181B1B"/>
    <w:rsid w:val="001857A1"/>
    <w:rsid w:val="00190E5E"/>
    <w:rsid w:val="0019102A"/>
    <w:rsid w:val="001963DE"/>
    <w:rsid w:val="001A1365"/>
    <w:rsid w:val="001A29CD"/>
    <w:rsid w:val="001A2EBA"/>
    <w:rsid w:val="001A4F15"/>
    <w:rsid w:val="001A543A"/>
    <w:rsid w:val="001A721F"/>
    <w:rsid w:val="001B72E9"/>
    <w:rsid w:val="001C17B5"/>
    <w:rsid w:val="001C58F6"/>
    <w:rsid w:val="001D0C55"/>
    <w:rsid w:val="001D4B41"/>
    <w:rsid w:val="001D4FEE"/>
    <w:rsid w:val="001E08A5"/>
    <w:rsid w:val="001E68AC"/>
    <w:rsid w:val="001F72BB"/>
    <w:rsid w:val="001F76FD"/>
    <w:rsid w:val="00201F93"/>
    <w:rsid w:val="00206AD0"/>
    <w:rsid w:val="00211640"/>
    <w:rsid w:val="0022105A"/>
    <w:rsid w:val="002217CA"/>
    <w:rsid w:val="00223D00"/>
    <w:rsid w:val="00237293"/>
    <w:rsid w:val="002376B6"/>
    <w:rsid w:val="002604B7"/>
    <w:rsid w:val="00264315"/>
    <w:rsid w:val="002656A8"/>
    <w:rsid w:val="002710A3"/>
    <w:rsid w:val="00273D29"/>
    <w:rsid w:val="00283211"/>
    <w:rsid w:val="002850EC"/>
    <w:rsid w:val="00285206"/>
    <w:rsid w:val="002879D7"/>
    <w:rsid w:val="002902D7"/>
    <w:rsid w:val="00290429"/>
    <w:rsid w:val="00290842"/>
    <w:rsid w:val="002916D5"/>
    <w:rsid w:val="00292074"/>
    <w:rsid w:val="00292422"/>
    <w:rsid w:val="002957F4"/>
    <w:rsid w:val="002973E6"/>
    <w:rsid w:val="00297540"/>
    <w:rsid w:val="002A09A4"/>
    <w:rsid w:val="002A50CD"/>
    <w:rsid w:val="002B01E1"/>
    <w:rsid w:val="002B0845"/>
    <w:rsid w:val="002B2F42"/>
    <w:rsid w:val="002B3561"/>
    <w:rsid w:val="002C23D0"/>
    <w:rsid w:val="002D0E0B"/>
    <w:rsid w:val="002D186A"/>
    <w:rsid w:val="002D27AB"/>
    <w:rsid w:val="002D5785"/>
    <w:rsid w:val="002D6196"/>
    <w:rsid w:val="002E19EB"/>
    <w:rsid w:val="002E379C"/>
    <w:rsid w:val="002E5693"/>
    <w:rsid w:val="002F2485"/>
    <w:rsid w:val="002F25E3"/>
    <w:rsid w:val="002F4411"/>
    <w:rsid w:val="002F71B6"/>
    <w:rsid w:val="003040D2"/>
    <w:rsid w:val="0031078D"/>
    <w:rsid w:val="0031292B"/>
    <w:rsid w:val="00314DF1"/>
    <w:rsid w:val="0031540E"/>
    <w:rsid w:val="00316E40"/>
    <w:rsid w:val="00317A5A"/>
    <w:rsid w:val="0033037C"/>
    <w:rsid w:val="003346DD"/>
    <w:rsid w:val="00334EF7"/>
    <w:rsid w:val="003351F0"/>
    <w:rsid w:val="0033573D"/>
    <w:rsid w:val="00341E69"/>
    <w:rsid w:val="00346963"/>
    <w:rsid w:val="00351EE1"/>
    <w:rsid w:val="00354CC6"/>
    <w:rsid w:val="0035533B"/>
    <w:rsid w:val="00361119"/>
    <w:rsid w:val="00367DB4"/>
    <w:rsid w:val="003703EE"/>
    <w:rsid w:val="003758A2"/>
    <w:rsid w:val="00377B90"/>
    <w:rsid w:val="0038004B"/>
    <w:rsid w:val="0038277A"/>
    <w:rsid w:val="0039081C"/>
    <w:rsid w:val="003929A7"/>
    <w:rsid w:val="003A0B0B"/>
    <w:rsid w:val="003A3548"/>
    <w:rsid w:val="003B3F67"/>
    <w:rsid w:val="003B59E8"/>
    <w:rsid w:val="003B789B"/>
    <w:rsid w:val="003C061A"/>
    <w:rsid w:val="003C0AD5"/>
    <w:rsid w:val="003C1ADF"/>
    <w:rsid w:val="003C3803"/>
    <w:rsid w:val="003C4F15"/>
    <w:rsid w:val="003C706E"/>
    <w:rsid w:val="003D2088"/>
    <w:rsid w:val="003D45B2"/>
    <w:rsid w:val="003D6E55"/>
    <w:rsid w:val="003E31CA"/>
    <w:rsid w:val="003E5634"/>
    <w:rsid w:val="003F149D"/>
    <w:rsid w:val="003F7602"/>
    <w:rsid w:val="004002E0"/>
    <w:rsid w:val="00401907"/>
    <w:rsid w:val="004039AF"/>
    <w:rsid w:val="0040783A"/>
    <w:rsid w:val="004110B4"/>
    <w:rsid w:val="0041173D"/>
    <w:rsid w:val="004250CD"/>
    <w:rsid w:val="0043419A"/>
    <w:rsid w:val="00434A50"/>
    <w:rsid w:val="00440119"/>
    <w:rsid w:val="00440AB6"/>
    <w:rsid w:val="0044350D"/>
    <w:rsid w:val="004440A4"/>
    <w:rsid w:val="00444259"/>
    <w:rsid w:val="00446B46"/>
    <w:rsid w:val="004626CC"/>
    <w:rsid w:val="0046561B"/>
    <w:rsid w:val="00465694"/>
    <w:rsid w:val="00471250"/>
    <w:rsid w:val="004738C9"/>
    <w:rsid w:val="004763C8"/>
    <w:rsid w:val="004769A2"/>
    <w:rsid w:val="00481AD6"/>
    <w:rsid w:val="00482B6F"/>
    <w:rsid w:val="00484F60"/>
    <w:rsid w:val="00490E9B"/>
    <w:rsid w:val="00492501"/>
    <w:rsid w:val="00495D85"/>
    <w:rsid w:val="00496BF6"/>
    <w:rsid w:val="004A4DF3"/>
    <w:rsid w:val="004B0333"/>
    <w:rsid w:val="004B1A10"/>
    <w:rsid w:val="004B2AA9"/>
    <w:rsid w:val="004B37B8"/>
    <w:rsid w:val="004B6A4A"/>
    <w:rsid w:val="004B739B"/>
    <w:rsid w:val="004C09B8"/>
    <w:rsid w:val="004C78EF"/>
    <w:rsid w:val="004D375A"/>
    <w:rsid w:val="004D46A8"/>
    <w:rsid w:val="004D7AEE"/>
    <w:rsid w:val="004E228C"/>
    <w:rsid w:val="004E6089"/>
    <w:rsid w:val="004F56ED"/>
    <w:rsid w:val="004F6FF2"/>
    <w:rsid w:val="0050213C"/>
    <w:rsid w:val="005023C0"/>
    <w:rsid w:val="005058B2"/>
    <w:rsid w:val="00510549"/>
    <w:rsid w:val="005119FE"/>
    <w:rsid w:val="005178B5"/>
    <w:rsid w:val="00522CD9"/>
    <w:rsid w:val="005261B0"/>
    <w:rsid w:val="005339C1"/>
    <w:rsid w:val="00536E5D"/>
    <w:rsid w:val="00537482"/>
    <w:rsid w:val="00537618"/>
    <w:rsid w:val="00537BDF"/>
    <w:rsid w:val="005418A6"/>
    <w:rsid w:val="00553B83"/>
    <w:rsid w:val="005618F1"/>
    <w:rsid w:val="00567F59"/>
    <w:rsid w:val="00572B7D"/>
    <w:rsid w:val="005735DC"/>
    <w:rsid w:val="00575BF1"/>
    <w:rsid w:val="00583DAA"/>
    <w:rsid w:val="0058580D"/>
    <w:rsid w:val="00592618"/>
    <w:rsid w:val="00594B94"/>
    <w:rsid w:val="00595C15"/>
    <w:rsid w:val="005968FB"/>
    <w:rsid w:val="005A06DB"/>
    <w:rsid w:val="005A50FC"/>
    <w:rsid w:val="005A5120"/>
    <w:rsid w:val="005A6054"/>
    <w:rsid w:val="005B40CF"/>
    <w:rsid w:val="005B745B"/>
    <w:rsid w:val="005B7D6F"/>
    <w:rsid w:val="005C5931"/>
    <w:rsid w:val="005C6C2A"/>
    <w:rsid w:val="005C6FF9"/>
    <w:rsid w:val="005D17F9"/>
    <w:rsid w:val="005D1979"/>
    <w:rsid w:val="005D23C0"/>
    <w:rsid w:val="005D49A8"/>
    <w:rsid w:val="005D768F"/>
    <w:rsid w:val="005E11BC"/>
    <w:rsid w:val="005E6AD6"/>
    <w:rsid w:val="005F2FDE"/>
    <w:rsid w:val="005F7B5E"/>
    <w:rsid w:val="005F7B8E"/>
    <w:rsid w:val="0060035D"/>
    <w:rsid w:val="00611C62"/>
    <w:rsid w:val="00613E1B"/>
    <w:rsid w:val="0061427E"/>
    <w:rsid w:val="00617123"/>
    <w:rsid w:val="006223FA"/>
    <w:rsid w:val="00623FD2"/>
    <w:rsid w:val="0062421B"/>
    <w:rsid w:val="006267DE"/>
    <w:rsid w:val="00631789"/>
    <w:rsid w:val="0063250C"/>
    <w:rsid w:val="0063355C"/>
    <w:rsid w:val="00633AD3"/>
    <w:rsid w:val="006356C9"/>
    <w:rsid w:val="00636AD0"/>
    <w:rsid w:val="00637960"/>
    <w:rsid w:val="006408DA"/>
    <w:rsid w:val="00644853"/>
    <w:rsid w:val="0065140B"/>
    <w:rsid w:val="0065363F"/>
    <w:rsid w:val="00655AE0"/>
    <w:rsid w:val="00660938"/>
    <w:rsid w:val="0066195A"/>
    <w:rsid w:val="006670A2"/>
    <w:rsid w:val="00670267"/>
    <w:rsid w:val="006713D5"/>
    <w:rsid w:val="0067204D"/>
    <w:rsid w:val="006760B6"/>
    <w:rsid w:val="0068018B"/>
    <w:rsid w:val="006802F9"/>
    <w:rsid w:val="00681EFA"/>
    <w:rsid w:val="006849BD"/>
    <w:rsid w:val="00685DBF"/>
    <w:rsid w:val="00695091"/>
    <w:rsid w:val="006969F8"/>
    <w:rsid w:val="0069735D"/>
    <w:rsid w:val="006A3F43"/>
    <w:rsid w:val="006A44CD"/>
    <w:rsid w:val="006A5D65"/>
    <w:rsid w:val="006B346A"/>
    <w:rsid w:val="006C32E8"/>
    <w:rsid w:val="006C36AF"/>
    <w:rsid w:val="006C567A"/>
    <w:rsid w:val="006C6B7B"/>
    <w:rsid w:val="006D3E37"/>
    <w:rsid w:val="006D422D"/>
    <w:rsid w:val="006D4334"/>
    <w:rsid w:val="006D5D16"/>
    <w:rsid w:val="006D60C4"/>
    <w:rsid w:val="006D7AF8"/>
    <w:rsid w:val="006E0728"/>
    <w:rsid w:val="006F0165"/>
    <w:rsid w:val="006F16F9"/>
    <w:rsid w:val="006F201B"/>
    <w:rsid w:val="006F4E37"/>
    <w:rsid w:val="00700115"/>
    <w:rsid w:val="007001AB"/>
    <w:rsid w:val="0070377D"/>
    <w:rsid w:val="00705185"/>
    <w:rsid w:val="00712F53"/>
    <w:rsid w:val="007156D1"/>
    <w:rsid w:val="00715C77"/>
    <w:rsid w:val="00723190"/>
    <w:rsid w:val="00730D91"/>
    <w:rsid w:val="00740EA4"/>
    <w:rsid w:val="007435A4"/>
    <w:rsid w:val="0075256B"/>
    <w:rsid w:val="00760D97"/>
    <w:rsid w:val="00761BBD"/>
    <w:rsid w:val="0076230B"/>
    <w:rsid w:val="00764B26"/>
    <w:rsid w:val="00764BDF"/>
    <w:rsid w:val="007667D4"/>
    <w:rsid w:val="00767396"/>
    <w:rsid w:val="007716C2"/>
    <w:rsid w:val="0077699B"/>
    <w:rsid w:val="00776E6D"/>
    <w:rsid w:val="00780F75"/>
    <w:rsid w:val="0078315A"/>
    <w:rsid w:val="007835FA"/>
    <w:rsid w:val="0078625A"/>
    <w:rsid w:val="00791445"/>
    <w:rsid w:val="0079295D"/>
    <w:rsid w:val="00796E16"/>
    <w:rsid w:val="007A044C"/>
    <w:rsid w:val="007A6B85"/>
    <w:rsid w:val="007B3A02"/>
    <w:rsid w:val="007B3ACD"/>
    <w:rsid w:val="007B3D46"/>
    <w:rsid w:val="007B474B"/>
    <w:rsid w:val="007C196C"/>
    <w:rsid w:val="007C2763"/>
    <w:rsid w:val="007D1A01"/>
    <w:rsid w:val="007D1ECC"/>
    <w:rsid w:val="007D418E"/>
    <w:rsid w:val="007D78BB"/>
    <w:rsid w:val="007E2D72"/>
    <w:rsid w:val="007E319E"/>
    <w:rsid w:val="007E4791"/>
    <w:rsid w:val="007F5264"/>
    <w:rsid w:val="007F68DB"/>
    <w:rsid w:val="00800648"/>
    <w:rsid w:val="00804FBF"/>
    <w:rsid w:val="008053E2"/>
    <w:rsid w:val="00805A85"/>
    <w:rsid w:val="00807F0B"/>
    <w:rsid w:val="00810949"/>
    <w:rsid w:val="00811D4D"/>
    <w:rsid w:val="00812BD1"/>
    <w:rsid w:val="008153DF"/>
    <w:rsid w:val="00817558"/>
    <w:rsid w:val="008203D8"/>
    <w:rsid w:val="008208AF"/>
    <w:rsid w:val="00822B94"/>
    <w:rsid w:val="008262CA"/>
    <w:rsid w:val="00834102"/>
    <w:rsid w:val="008359FF"/>
    <w:rsid w:val="00840DC6"/>
    <w:rsid w:val="008450E3"/>
    <w:rsid w:val="0084793B"/>
    <w:rsid w:val="00854837"/>
    <w:rsid w:val="00865335"/>
    <w:rsid w:val="00870292"/>
    <w:rsid w:val="00873C51"/>
    <w:rsid w:val="00883BB4"/>
    <w:rsid w:val="008869FA"/>
    <w:rsid w:val="008871E5"/>
    <w:rsid w:val="00895DF7"/>
    <w:rsid w:val="00897A2B"/>
    <w:rsid w:val="00897FCD"/>
    <w:rsid w:val="008A255E"/>
    <w:rsid w:val="008A6419"/>
    <w:rsid w:val="008B6012"/>
    <w:rsid w:val="008C17A3"/>
    <w:rsid w:val="008C36BB"/>
    <w:rsid w:val="008D4F03"/>
    <w:rsid w:val="008D79B0"/>
    <w:rsid w:val="009011F8"/>
    <w:rsid w:val="00901ABD"/>
    <w:rsid w:val="0090422A"/>
    <w:rsid w:val="00906343"/>
    <w:rsid w:val="0090783E"/>
    <w:rsid w:val="009107AE"/>
    <w:rsid w:val="00921818"/>
    <w:rsid w:val="00927B49"/>
    <w:rsid w:val="009327F3"/>
    <w:rsid w:val="00932C67"/>
    <w:rsid w:val="00935A76"/>
    <w:rsid w:val="009455E5"/>
    <w:rsid w:val="00950809"/>
    <w:rsid w:val="009543AB"/>
    <w:rsid w:val="00954888"/>
    <w:rsid w:val="00964BC4"/>
    <w:rsid w:val="009662AE"/>
    <w:rsid w:val="009705C4"/>
    <w:rsid w:val="0097169A"/>
    <w:rsid w:val="00972EDB"/>
    <w:rsid w:val="00974FA6"/>
    <w:rsid w:val="00986A75"/>
    <w:rsid w:val="00995912"/>
    <w:rsid w:val="009A207B"/>
    <w:rsid w:val="009A4EB2"/>
    <w:rsid w:val="009B07B2"/>
    <w:rsid w:val="009B08E7"/>
    <w:rsid w:val="009B1537"/>
    <w:rsid w:val="009B55AF"/>
    <w:rsid w:val="009C4135"/>
    <w:rsid w:val="009C7713"/>
    <w:rsid w:val="009C775F"/>
    <w:rsid w:val="009D0A5B"/>
    <w:rsid w:val="009E1ED2"/>
    <w:rsid w:val="009E5A76"/>
    <w:rsid w:val="009E75D3"/>
    <w:rsid w:val="009F2C7A"/>
    <w:rsid w:val="00A0095B"/>
    <w:rsid w:val="00A00AD5"/>
    <w:rsid w:val="00A04893"/>
    <w:rsid w:val="00A053EF"/>
    <w:rsid w:val="00A063D3"/>
    <w:rsid w:val="00A11ECE"/>
    <w:rsid w:val="00A24AF9"/>
    <w:rsid w:val="00A3223E"/>
    <w:rsid w:val="00A40A0C"/>
    <w:rsid w:val="00A44DD5"/>
    <w:rsid w:val="00A45807"/>
    <w:rsid w:val="00A45E9E"/>
    <w:rsid w:val="00A50E4C"/>
    <w:rsid w:val="00A53F9C"/>
    <w:rsid w:val="00A55556"/>
    <w:rsid w:val="00A5598C"/>
    <w:rsid w:val="00A57B23"/>
    <w:rsid w:val="00A60DE1"/>
    <w:rsid w:val="00A617EF"/>
    <w:rsid w:val="00A61DD0"/>
    <w:rsid w:val="00A63022"/>
    <w:rsid w:val="00A6408B"/>
    <w:rsid w:val="00A716BB"/>
    <w:rsid w:val="00A7309A"/>
    <w:rsid w:val="00A80B2B"/>
    <w:rsid w:val="00A80EE6"/>
    <w:rsid w:val="00A81703"/>
    <w:rsid w:val="00A825B6"/>
    <w:rsid w:val="00A82C14"/>
    <w:rsid w:val="00A85EEA"/>
    <w:rsid w:val="00A94506"/>
    <w:rsid w:val="00A96BEE"/>
    <w:rsid w:val="00AA08F6"/>
    <w:rsid w:val="00AA0ABE"/>
    <w:rsid w:val="00AA15FB"/>
    <w:rsid w:val="00AA249F"/>
    <w:rsid w:val="00AA3C48"/>
    <w:rsid w:val="00AA6BBC"/>
    <w:rsid w:val="00AB0874"/>
    <w:rsid w:val="00AB09BB"/>
    <w:rsid w:val="00AB1FC8"/>
    <w:rsid w:val="00AB7006"/>
    <w:rsid w:val="00AD0020"/>
    <w:rsid w:val="00AD1682"/>
    <w:rsid w:val="00AD22DA"/>
    <w:rsid w:val="00AD54F0"/>
    <w:rsid w:val="00AD673D"/>
    <w:rsid w:val="00AE6B04"/>
    <w:rsid w:val="00AE7FB9"/>
    <w:rsid w:val="00AF4EF1"/>
    <w:rsid w:val="00AF6329"/>
    <w:rsid w:val="00AF7897"/>
    <w:rsid w:val="00B121D5"/>
    <w:rsid w:val="00B123E5"/>
    <w:rsid w:val="00B125A8"/>
    <w:rsid w:val="00B12D37"/>
    <w:rsid w:val="00B13D01"/>
    <w:rsid w:val="00B14CDE"/>
    <w:rsid w:val="00B2456C"/>
    <w:rsid w:val="00B31E5F"/>
    <w:rsid w:val="00B353BB"/>
    <w:rsid w:val="00B37427"/>
    <w:rsid w:val="00B379B2"/>
    <w:rsid w:val="00B419BF"/>
    <w:rsid w:val="00B42920"/>
    <w:rsid w:val="00B460B2"/>
    <w:rsid w:val="00B50E85"/>
    <w:rsid w:val="00B54DD5"/>
    <w:rsid w:val="00B573E2"/>
    <w:rsid w:val="00B602C0"/>
    <w:rsid w:val="00B66818"/>
    <w:rsid w:val="00B74B14"/>
    <w:rsid w:val="00B7775D"/>
    <w:rsid w:val="00B77861"/>
    <w:rsid w:val="00B81054"/>
    <w:rsid w:val="00B84166"/>
    <w:rsid w:val="00B9254E"/>
    <w:rsid w:val="00B94C6A"/>
    <w:rsid w:val="00BA586B"/>
    <w:rsid w:val="00BB0407"/>
    <w:rsid w:val="00BB4DBE"/>
    <w:rsid w:val="00BC3913"/>
    <w:rsid w:val="00BC4A8D"/>
    <w:rsid w:val="00BD0014"/>
    <w:rsid w:val="00BD02C9"/>
    <w:rsid w:val="00BD09E6"/>
    <w:rsid w:val="00BD240D"/>
    <w:rsid w:val="00BD5310"/>
    <w:rsid w:val="00BE5DEE"/>
    <w:rsid w:val="00BE6E3F"/>
    <w:rsid w:val="00BF0DB2"/>
    <w:rsid w:val="00BF1DCB"/>
    <w:rsid w:val="00BF36AB"/>
    <w:rsid w:val="00BF3B05"/>
    <w:rsid w:val="00BF68DD"/>
    <w:rsid w:val="00C020CA"/>
    <w:rsid w:val="00C1436C"/>
    <w:rsid w:val="00C21CCF"/>
    <w:rsid w:val="00C25511"/>
    <w:rsid w:val="00C25E6B"/>
    <w:rsid w:val="00C37E80"/>
    <w:rsid w:val="00C45F54"/>
    <w:rsid w:val="00C54852"/>
    <w:rsid w:val="00C56362"/>
    <w:rsid w:val="00C56D60"/>
    <w:rsid w:val="00C575F8"/>
    <w:rsid w:val="00C62FF8"/>
    <w:rsid w:val="00C70B60"/>
    <w:rsid w:val="00C73438"/>
    <w:rsid w:val="00C737E9"/>
    <w:rsid w:val="00C74271"/>
    <w:rsid w:val="00C74DD1"/>
    <w:rsid w:val="00C756AE"/>
    <w:rsid w:val="00C77040"/>
    <w:rsid w:val="00C81353"/>
    <w:rsid w:val="00C84FC1"/>
    <w:rsid w:val="00C907B5"/>
    <w:rsid w:val="00C953FF"/>
    <w:rsid w:val="00CA2BA7"/>
    <w:rsid w:val="00CA4B5D"/>
    <w:rsid w:val="00CA535F"/>
    <w:rsid w:val="00CB5C1A"/>
    <w:rsid w:val="00CB7A9C"/>
    <w:rsid w:val="00CC0906"/>
    <w:rsid w:val="00CC11C7"/>
    <w:rsid w:val="00CC1937"/>
    <w:rsid w:val="00CC2300"/>
    <w:rsid w:val="00CC2A4A"/>
    <w:rsid w:val="00CC4148"/>
    <w:rsid w:val="00CC74A7"/>
    <w:rsid w:val="00CD167B"/>
    <w:rsid w:val="00CD268A"/>
    <w:rsid w:val="00CD2C05"/>
    <w:rsid w:val="00CD4AF8"/>
    <w:rsid w:val="00CD5EF1"/>
    <w:rsid w:val="00CD65EE"/>
    <w:rsid w:val="00CD7A2E"/>
    <w:rsid w:val="00CD7BCB"/>
    <w:rsid w:val="00CE1AD5"/>
    <w:rsid w:val="00CE43ED"/>
    <w:rsid w:val="00CE4D74"/>
    <w:rsid w:val="00CE57F1"/>
    <w:rsid w:val="00CE5DD7"/>
    <w:rsid w:val="00CE6E17"/>
    <w:rsid w:val="00D00AD1"/>
    <w:rsid w:val="00D05677"/>
    <w:rsid w:val="00D0653D"/>
    <w:rsid w:val="00D1475F"/>
    <w:rsid w:val="00D15EC4"/>
    <w:rsid w:val="00D23ACF"/>
    <w:rsid w:val="00D23BC5"/>
    <w:rsid w:val="00D25E85"/>
    <w:rsid w:val="00D42376"/>
    <w:rsid w:val="00D43F29"/>
    <w:rsid w:val="00D44B4B"/>
    <w:rsid w:val="00D4527A"/>
    <w:rsid w:val="00D46CAF"/>
    <w:rsid w:val="00D5056E"/>
    <w:rsid w:val="00D50FA7"/>
    <w:rsid w:val="00D51AAA"/>
    <w:rsid w:val="00D51B14"/>
    <w:rsid w:val="00D55E82"/>
    <w:rsid w:val="00D63379"/>
    <w:rsid w:val="00D63431"/>
    <w:rsid w:val="00D67CE1"/>
    <w:rsid w:val="00D7342C"/>
    <w:rsid w:val="00D76BEF"/>
    <w:rsid w:val="00D8342C"/>
    <w:rsid w:val="00D84092"/>
    <w:rsid w:val="00D95236"/>
    <w:rsid w:val="00D967D3"/>
    <w:rsid w:val="00DA1A71"/>
    <w:rsid w:val="00DA4542"/>
    <w:rsid w:val="00DA4FA8"/>
    <w:rsid w:val="00DA624C"/>
    <w:rsid w:val="00DA646D"/>
    <w:rsid w:val="00DB2635"/>
    <w:rsid w:val="00DB3226"/>
    <w:rsid w:val="00DB3E01"/>
    <w:rsid w:val="00DB4CFB"/>
    <w:rsid w:val="00DB55AB"/>
    <w:rsid w:val="00DC12D2"/>
    <w:rsid w:val="00DC13C4"/>
    <w:rsid w:val="00DC197F"/>
    <w:rsid w:val="00DC641D"/>
    <w:rsid w:val="00DC7319"/>
    <w:rsid w:val="00DD3B7A"/>
    <w:rsid w:val="00DE0525"/>
    <w:rsid w:val="00DE384A"/>
    <w:rsid w:val="00DE7F6B"/>
    <w:rsid w:val="00DF3315"/>
    <w:rsid w:val="00E02E70"/>
    <w:rsid w:val="00E04B66"/>
    <w:rsid w:val="00E06E75"/>
    <w:rsid w:val="00E1256B"/>
    <w:rsid w:val="00E1473C"/>
    <w:rsid w:val="00E258F6"/>
    <w:rsid w:val="00E26C5B"/>
    <w:rsid w:val="00E41EFB"/>
    <w:rsid w:val="00E43E73"/>
    <w:rsid w:val="00E4419B"/>
    <w:rsid w:val="00E47359"/>
    <w:rsid w:val="00E5410C"/>
    <w:rsid w:val="00E64A59"/>
    <w:rsid w:val="00E7222A"/>
    <w:rsid w:val="00E729F5"/>
    <w:rsid w:val="00E74F3B"/>
    <w:rsid w:val="00E752D3"/>
    <w:rsid w:val="00E77692"/>
    <w:rsid w:val="00E80D45"/>
    <w:rsid w:val="00E80F6C"/>
    <w:rsid w:val="00E917AD"/>
    <w:rsid w:val="00E96B06"/>
    <w:rsid w:val="00EA07ED"/>
    <w:rsid w:val="00EA41D5"/>
    <w:rsid w:val="00EA5B35"/>
    <w:rsid w:val="00EB3091"/>
    <w:rsid w:val="00EB382B"/>
    <w:rsid w:val="00EB577E"/>
    <w:rsid w:val="00EC065D"/>
    <w:rsid w:val="00EC4A4C"/>
    <w:rsid w:val="00ED6AEE"/>
    <w:rsid w:val="00ED759E"/>
    <w:rsid w:val="00ED769A"/>
    <w:rsid w:val="00EE39E5"/>
    <w:rsid w:val="00EE4DD1"/>
    <w:rsid w:val="00EE735A"/>
    <w:rsid w:val="00F04730"/>
    <w:rsid w:val="00F13B69"/>
    <w:rsid w:val="00F1636E"/>
    <w:rsid w:val="00F2401D"/>
    <w:rsid w:val="00F26186"/>
    <w:rsid w:val="00F27630"/>
    <w:rsid w:val="00F40484"/>
    <w:rsid w:val="00F51974"/>
    <w:rsid w:val="00F5371F"/>
    <w:rsid w:val="00F65E6E"/>
    <w:rsid w:val="00F66D22"/>
    <w:rsid w:val="00F67643"/>
    <w:rsid w:val="00F70174"/>
    <w:rsid w:val="00F74A96"/>
    <w:rsid w:val="00F80AC4"/>
    <w:rsid w:val="00F91A3E"/>
    <w:rsid w:val="00F934C3"/>
    <w:rsid w:val="00F966FF"/>
    <w:rsid w:val="00F96DB6"/>
    <w:rsid w:val="00FA1AB9"/>
    <w:rsid w:val="00FA5603"/>
    <w:rsid w:val="00FA6760"/>
    <w:rsid w:val="00FB4711"/>
    <w:rsid w:val="00FB5714"/>
    <w:rsid w:val="00FC22B6"/>
    <w:rsid w:val="00FC2CB4"/>
    <w:rsid w:val="00FD5FFD"/>
    <w:rsid w:val="00FE1AB5"/>
    <w:rsid w:val="00FE34B8"/>
    <w:rsid w:val="00FF07BC"/>
    <w:rsid w:val="00FF3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BB4A"/>
  <w15:docId w15:val="{B6B9D7BB-D63A-4D21-BC84-D0D2B991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D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C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45B2"/>
  </w:style>
  <w:style w:type="paragraph" w:styleId="a5">
    <w:name w:val="Balloon Text"/>
    <w:basedOn w:val="a"/>
    <w:link w:val="a6"/>
    <w:uiPriority w:val="99"/>
    <w:semiHidden/>
    <w:unhideWhenUsed/>
    <w:rsid w:val="003D4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5B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3D4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45B2"/>
  </w:style>
  <w:style w:type="paragraph" w:styleId="a9">
    <w:name w:val="List Paragraph"/>
    <w:basedOn w:val="a"/>
    <w:uiPriority w:val="34"/>
    <w:qFormat/>
    <w:rsid w:val="009A4EB2"/>
    <w:pPr>
      <w:ind w:left="720"/>
      <w:contextualSpacing/>
    </w:pPr>
  </w:style>
  <w:style w:type="table" w:styleId="aa">
    <w:name w:val="Table Grid"/>
    <w:basedOn w:val="a1"/>
    <w:rsid w:val="00A825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nhideWhenUsed/>
    <w:rsid w:val="000A349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A3493"/>
  </w:style>
  <w:style w:type="character" w:styleId="ac">
    <w:name w:val="FollowedHyperlink"/>
    <w:basedOn w:val="a0"/>
    <w:uiPriority w:val="99"/>
    <w:semiHidden/>
    <w:unhideWhenUsed/>
    <w:rsid w:val="000A3493"/>
    <w:rPr>
      <w:color w:val="800080" w:themeColor="followedHyperlink"/>
      <w:u w:val="single"/>
    </w:rPr>
  </w:style>
  <w:style w:type="character" w:customStyle="1" w:styleId="hps">
    <w:name w:val="hps"/>
    <w:basedOn w:val="a0"/>
    <w:rsid w:val="002F25E3"/>
  </w:style>
  <w:style w:type="character" w:customStyle="1" w:styleId="atn">
    <w:name w:val="atn"/>
    <w:basedOn w:val="a0"/>
    <w:rsid w:val="004E228C"/>
  </w:style>
  <w:style w:type="character" w:customStyle="1" w:styleId="s0">
    <w:name w:val="s0"/>
    <w:rsid w:val="00B50E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d">
    <w:name w:val="Strong"/>
    <w:qFormat/>
    <w:rsid w:val="00F51974"/>
    <w:rPr>
      <w:b/>
      <w:bCs/>
    </w:rPr>
  </w:style>
  <w:style w:type="paragraph" w:styleId="ae">
    <w:name w:val="Normal (Web)"/>
    <w:basedOn w:val="a"/>
    <w:uiPriority w:val="99"/>
    <w:rsid w:val="005E6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5"/>
    <w:rsid w:val="00685DBF"/>
    <w:rPr>
      <w:spacing w:val="1"/>
      <w:sz w:val="19"/>
      <w:szCs w:val="19"/>
      <w:shd w:val="clear" w:color="auto" w:fill="FFFFFF"/>
    </w:rPr>
  </w:style>
  <w:style w:type="character" w:customStyle="1" w:styleId="0pt">
    <w:name w:val="Основной текст + Полужирный;Интервал 0 pt"/>
    <w:rsid w:val="00685DBF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21">
    <w:name w:val="Основной текст2"/>
    <w:rsid w:val="00685DBF"/>
    <w:rPr>
      <w:rFonts w:ascii="Times New Roman" w:eastAsia="Times New Roman" w:hAnsi="Times New Roman" w:cs="Times New Roman"/>
      <w:color w:val="000000"/>
      <w:spacing w:val="1"/>
      <w:w w:val="100"/>
      <w:position w:val="0"/>
      <w:sz w:val="19"/>
      <w:szCs w:val="19"/>
      <w:shd w:val="clear" w:color="auto" w:fill="FFFFFF"/>
      <w:lang w:val="en-US"/>
    </w:rPr>
  </w:style>
  <w:style w:type="paragraph" w:customStyle="1" w:styleId="5">
    <w:name w:val="Основной текст5"/>
    <w:basedOn w:val="a"/>
    <w:link w:val="af"/>
    <w:rsid w:val="00685DBF"/>
    <w:pPr>
      <w:widowControl w:val="0"/>
      <w:shd w:val="clear" w:color="auto" w:fill="FFFFFF"/>
      <w:spacing w:before="300" w:after="540" w:line="0" w:lineRule="atLeast"/>
      <w:jc w:val="both"/>
    </w:pPr>
    <w:rPr>
      <w:spacing w:val="1"/>
      <w:sz w:val="19"/>
      <w:szCs w:val="19"/>
    </w:rPr>
  </w:style>
  <w:style w:type="paragraph" w:customStyle="1" w:styleId="Default">
    <w:name w:val="Default"/>
    <w:rsid w:val="00DB4C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af0">
    <w:name w:val="Body Text"/>
    <w:basedOn w:val="a"/>
    <w:link w:val="af1"/>
    <w:rsid w:val="00367DB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1">
    <w:name w:val="Основной текст Знак"/>
    <w:basedOn w:val="a0"/>
    <w:link w:val="af0"/>
    <w:rsid w:val="00367DB4"/>
    <w:rPr>
      <w:rFonts w:ascii="Times New Roman" w:eastAsia="Times New Roman" w:hAnsi="Times New Roman" w:cs="Times New Roman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B54D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32C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xt">
    <w:name w:val="Text"/>
    <w:aliases w:val="Graphic"/>
    <w:basedOn w:val="a"/>
    <w:link w:val="TextChar"/>
    <w:rsid w:val="005A50FC"/>
    <w:pPr>
      <w:spacing w:before="120" w:after="0" w:line="240" w:lineRule="auto"/>
      <w:jc w:val="both"/>
    </w:pPr>
    <w:rPr>
      <w:rFonts w:ascii="Times New Roman" w:eastAsia="MS Mincho" w:hAnsi="Times New Roman" w:cs="Times New Roman"/>
      <w:sz w:val="24"/>
      <w:szCs w:val="20"/>
      <w:lang w:val="en-US" w:eastAsia="en-US"/>
    </w:rPr>
  </w:style>
  <w:style w:type="character" w:customStyle="1" w:styleId="TextChar">
    <w:name w:val="Text Char"/>
    <w:link w:val="Text"/>
    <w:rsid w:val="005A50FC"/>
    <w:rPr>
      <w:rFonts w:ascii="Times New Roman" w:eastAsia="MS Mincho" w:hAnsi="Times New Roman" w:cs="Times New Roman"/>
      <w:sz w:val="24"/>
      <w:szCs w:val="20"/>
      <w:lang w:val="en-US" w:eastAsia="en-US"/>
    </w:rPr>
  </w:style>
  <w:style w:type="character" w:customStyle="1" w:styleId="22">
    <w:name w:val="Основной текст (2)"/>
    <w:basedOn w:val="a0"/>
    <w:rsid w:val="00A617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Style5">
    <w:name w:val="Style5"/>
    <w:basedOn w:val="a"/>
    <w:uiPriority w:val="99"/>
    <w:rsid w:val="001235C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level1">
    <w:name w:val="List level 1"/>
    <w:basedOn w:val="a"/>
    <w:rsid w:val="00CD7A2E"/>
    <w:pPr>
      <w:spacing w:before="40" w:after="20" w:line="240" w:lineRule="auto"/>
      <w:ind w:left="425" w:hanging="425"/>
    </w:pPr>
    <w:rPr>
      <w:rFonts w:ascii="Times New Roman" w:eastAsia="MS Mincho" w:hAnsi="Times New Roman" w:cs="Times New Roman"/>
      <w:sz w:val="24"/>
      <w:szCs w:val="20"/>
      <w:lang w:val="en-US" w:eastAsia="ja-JP"/>
    </w:rPr>
  </w:style>
  <w:style w:type="character" w:styleId="af2">
    <w:name w:val="Unresolved Mention"/>
    <w:basedOn w:val="a0"/>
    <w:uiPriority w:val="99"/>
    <w:semiHidden/>
    <w:unhideWhenUsed/>
    <w:rsid w:val="00D43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dda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.secretary@rogersgroup.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89D3-9E59-413D-959D-B46073B5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10760</Words>
  <Characters>61338</Characters>
  <Application>Microsoft Office Word</Application>
  <DocSecurity>0</DocSecurity>
  <Lines>511</Lines>
  <Paragraphs>143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НИМУЛИД ТРАНСГЕЛЬ                                                               (Нимесулид Трансдермальный Гель 1%)</vt:lpstr>
      <vt:lpstr>НИМУЛИД ТРАНСГЕЛЬ                                                               (Нимесулид Трансдермальный Гель 1%)</vt:lpstr>
    </vt:vector>
  </TitlesOfParts>
  <Company>Microsoft</Company>
  <LinksUpToDate>false</LinksUpToDate>
  <CharactersWithSpaces>71955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НИМУЛИД ТРАНСГЕЛЬ                                                               (Нимесулид Трансдермальный Гель 1%)</dc:title>
  <dc:creator>User</dc:creator>
  <cp:lastModifiedBy>Praveen Kanumuru</cp:lastModifiedBy>
  <cp:revision>4</cp:revision>
  <cp:lastPrinted>2012-11-26T03:49:00Z</cp:lastPrinted>
  <dcterms:created xsi:type="dcterms:W3CDTF">2025-04-22T11:32:00Z</dcterms:created>
  <dcterms:modified xsi:type="dcterms:W3CDTF">2025-06-17T07:36:00Z</dcterms:modified>
</cp:coreProperties>
</file>